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1CFFD">
      <w:pPr>
        <w:pStyle w:val="7"/>
        <w:spacing w:line="272" w:lineRule="auto"/>
      </w:pPr>
    </w:p>
    <w:p w14:paraId="304D1F09">
      <w:pPr>
        <w:pStyle w:val="7"/>
        <w:spacing w:line="273" w:lineRule="auto"/>
      </w:pPr>
    </w:p>
    <w:p w14:paraId="0AAAE212">
      <w:pPr>
        <w:pStyle w:val="7"/>
        <w:spacing w:line="273" w:lineRule="auto"/>
      </w:pPr>
    </w:p>
    <w:p w14:paraId="0467A9B6">
      <w:pPr>
        <w:pStyle w:val="7"/>
        <w:spacing w:line="273" w:lineRule="auto"/>
      </w:pPr>
    </w:p>
    <w:p w14:paraId="66F74EDF">
      <w:pPr>
        <w:keepNext w:val="0"/>
        <w:keepLines w:val="0"/>
        <w:pageBreakBefore w:val="0"/>
        <w:widowControl/>
        <w:kinsoku w:val="0"/>
        <w:wordWrap/>
        <w:overflowPunct/>
        <w:topLinePunct w:val="0"/>
        <w:autoSpaceDE w:val="0"/>
        <w:autoSpaceDN w:val="0"/>
        <w:bidi w:val="0"/>
        <w:adjustRightInd w:val="0"/>
        <w:snapToGrid w:val="0"/>
        <w:spacing w:line="372" w:lineRule="auto"/>
        <w:ind w:right="0"/>
        <w:jc w:val="center"/>
        <w:textAlignment w:val="baseline"/>
        <w:outlineLvl w:val="0"/>
        <w:rPr>
          <w:rFonts w:hint="eastAsia" w:ascii="宋体" w:hAnsi="宋体" w:eastAsia="宋体" w:cs="宋体"/>
          <w:b/>
          <w:bCs/>
          <w:spacing w:val="-6"/>
          <w:sz w:val="48"/>
          <w:szCs w:val="48"/>
          <w:lang w:val="en-US" w:eastAsia="zh-CN"/>
        </w:rPr>
      </w:pPr>
      <w:r>
        <w:rPr>
          <w:rFonts w:ascii="宋体" w:hAnsi="宋体" w:eastAsia="宋体" w:cs="宋体"/>
          <w:b/>
          <w:bCs/>
          <w:spacing w:val="-7"/>
          <w:sz w:val="48"/>
          <w:szCs w:val="48"/>
        </w:rPr>
        <w:t>山东济钢环保新材料有限</w:t>
      </w:r>
      <w:r>
        <w:rPr>
          <w:rFonts w:hint="eastAsia" w:ascii="宋体" w:hAnsi="宋体" w:eastAsia="宋体" w:cs="宋体"/>
          <w:b/>
          <w:bCs/>
          <w:spacing w:val="-7"/>
          <w:sz w:val="48"/>
          <w:szCs w:val="48"/>
          <w:lang w:val="en-US" w:eastAsia="zh-CN"/>
        </w:rPr>
        <w:t>公司</w:t>
      </w:r>
      <w:r>
        <w:rPr>
          <w:rFonts w:hint="eastAsia" w:ascii="宋体" w:hAnsi="宋体" w:eastAsia="宋体" w:cs="宋体"/>
          <w:b/>
          <w:bCs/>
          <w:spacing w:val="-6"/>
          <w:sz w:val="48"/>
          <w:szCs w:val="48"/>
          <w:lang w:val="en-US" w:eastAsia="zh-CN"/>
        </w:rPr>
        <w:t>东矿区</w:t>
      </w:r>
    </w:p>
    <w:p w14:paraId="13542AC5">
      <w:pPr>
        <w:keepNext w:val="0"/>
        <w:keepLines w:val="0"/>
        <w:pageBreakBefore w:val="0"/>
        <w:widowControl/>
        <w:kinsoku w:val="0"/>
        <w:wordWrap/>
        <w:overflowPunct/>
        <w:topLinePunct w:val="0"/>
        <w:autoSpaceDE w:val="0"/>
        <w:autoSpaceDN w:val="0"/>
        <w:bidi w:val="0"/>
        <w:adjustRightInd w:val="0"/>
        <w:snapToGrid w:val="0"/>
        <w:spacing w:line="372" w:lineRule="auto"/>
        <w:ind w:right="0"/>
        <w:jc w:val="center"/>
        <w:textAlignment w:val="baseline"/>
        <w:outlineLvl w:val="0"/>
        <w:rPr>
          <w:rFonts w:hint="eastAsia" w:ascii="宋体" w:hAnsi="宋体" w:eastAsia="宋体" w:cs="宋体"/>
          <w:b/>
          <w:bCs/>
          <w:spacing w:val="-6"/>
          <w:sz w:val="48"/>
          <w:szCs w:val="48"/>
          <w:lang w:val="en-US" w:eastAsia="zh-CN"/>
        </w:rPr>
      </w:pPr>
      <w:r>
        <w:rPr>
          <w:rFonts w:hint="eastAsia" w:ascii="宋体" w:hAnsi="宋体" w:eastAsia="宋体" w:cs="宋体"/>
          <w:b/>
          <w:bCs/>
          <w:spacing w:val="-6"/>
          <w:sz w:val="48"/>
          <w:szCs w:val="48"/>
          <w:lang w:val="en-US" w:eastAsia="zh-CN"/>
        </w:rPr>
        <w:t>原弓角湾村范围矿山边界安全护栏</w:t>
      </w:r>
    </w:p>
    <w:p w14:paraId="2E48C512">
      <w:pPr>
        <w:keepNext w:val="0"/>
        <w:keepLines w:val="0"/>
        <w:pageBreakBefore w:val="0"/>
        <w:widowControl/>
        <w:kinsoku w:val="0"/>
        <w:wordWrap/>
        <w:overflowPunct/>
        <w:topLinePunct w:val="0"/>
        <w:autoSpaceDE w:val="0"/>
        <w:autoSpaceDN w:val="0"/>
        <w:bidi w:val="0"/>
        <w:adjustRightInd w:val="0"/>
        <w:snapToGrid w:val="0"/>
        <w:spacing w:line="372" w:lineRule="auto"/>
        <w:ind w:right="0"/>
        <w:jc w:val="center"/>
        <w:textAlignment w:val="baseline"/>
        <w:outlineLvl w:val="0"/>
        <w:rPr>
          <w:rFonts w:ascii="宋体" w:hAnsi="宋体" w:eastAsia="宋体" w:cs="宋体"/>
          <w:sz w:val="48"/>
          <w:szCs w:val="48"/>
        </w:rPr>
      </w:pPr>
      <w:r>
        <w:rPr>
          <w:rFonts w:hint="eastAsia" w:ascii="宋体" w:hAnsi="宋体" w:eastAsia="宋体" w:cs="宋体"/>
          <w:b/>
          <w:bCs/>
          <w:spacing w:val="-6"/>
          <w:sz w:val="48"/>
          <w:szCs w:val="48"/>
          <w:lang w:val="en-US" w:eastAsia="zh-CN"/>
        </w:rPr>
        <w:t>施工采购</w:t>
      </w:r>
    </w:p>
    <w:p w14:paraId="0222ED26">
      <w:pPr>
        <w:pStyle w:val="7"/>
        <w:spacing w:line="251" w:lineRule="auto"/>
      </w:pPr>
    </w:p>
    <w:p w14:paraId="6A17C09F">
      <w:pPr>
        <w:pStyle w:val="7"/>
        <w:spacing w:line="251" w:lineRule="auto"/>
      </w:pPr>
    </w:p>
    <w:p w14:paraId="6854EDEE">
      <w:pPr>
        <w:pStyle w:val="7"/>
        <w:spacing w:line="251" w:lineRule="auto"/>
      </w:pPr>
    </w:p>
    <w:p w14:paraId="139D4BBF">
      <w:pPr>
        <w:pStyle w:val="7"/>
        <w:spacing w:line="251" w:lineRule="auto"/>
      </w:pPr>
    </w:p>
    <w:p w14:paraId="05100F22">
      <w:pPr>
        <w:pStyle w:val="7"/>
        <w:spacing w:line="251" w:lineRule="auto"/>
      </w:pPr>
    </w:p>
    <w:p w14:paraId="5A64BA51">
      <w:pPr>
        <w:pStyle w:val="7"/>
        <w:spacing w:line="251" w:lineRule="auto"/>
      </w:pPr>
    </w:p>
    <w:p w14:paraId="35CAFA7A">
      <w:pPr>
        <w:pStyle w:val="7"/>
        <w:spacing w:line="252" w:lineRule="auto"/>
      </w:pPr>
    </w:p>
    <w:p w14:paraId="01B47B17">
      <w:pPr>
        <w:pStyle w:val="7"/>
        <w:spacing w:line="252" w:lineRule="auto"/>
      </w:pPr>
    </w:p>
    <w:p w14:paraId="42BC72A7">
      <w:pPr>
        <w:pStyle w:val="7"/>
        <w:spacing w:line="252" w:lineRule="auto"/>
      </w:pPr>
    </w:p>
    <w:p w14:paraId="6D4E34CB">
      <w:pPr>
        <w:pStyle w:val="7"/>
        <w:spacing w:line="252" w:lineRule="auto"/>
      </w:pPr>
    </w:p>
    <w:p w14:paraId="05A9198A">
      <w:pPr>
        <w:spacing w:before="169" w:line="220" w:lineRule="auto"/>
        <w:ind w:left="2351"/>
        <w:rPr>
          <w:rFonts w:ascii="宋体" w:hAnsi="宋体" w:eastAsia="宋体" w:cs="宋体"/>
          <w:sz w:val="48"/>
          <w:szCs w:val="48"/>
        </w:rPr>
      </w:pPr>
      <w:r>
        <w:rPr>
          <w:rFonts w:ascii="宋体" w:hAnsi="宋体" w:eastAsia="宋体" w:cs="宋体"/>
          <w:b/>
          <w:bCs/>
          <w:spacing w:val="-6"/>
          <w:sz w:val="48"/>
          <w:szCs w:val="48"/>
        </w:rPr>
        <w:t>竞争性谈判文件</w:t>
      </w:r>
    </w:p>
    <w:p w14:paraId="5DAC8947">
      <w:pPr>
        <w:pStyle w:val="7"/>
        <w:spacing w:line="244" w:lineRule="auto"/>
      </w:pPr>
    </w:p>
    <w:p w14:paraId="29AC1631">
      <w:pPr>
        <w:pStyle w:val="7"/>
        <w:spacing w:line="245" w:lineRule="auto"/>
      </w:pPr>
    </w:p>
    <w:p w14:paraId="06D26E07">
      <w:pPr>
        <w:pStyle w:val="7"/>
        <w:spacing w:line="245" w:lineRule="auto"/>
      </w:pPr>
    </w:p>
    <w:p w14:paraId="1D32F980">
      <w:pPr>
        <w:pStyle w:val="7"/>
        <w:spacing w:line="245" w:lineRule="auto"/>
      </w:pPr>
    </w:p>
    <w:p w14:paraId="241B899D">
      <w:pPr>
        <w:pStyle w:val="7"/>
        <w:spacing w:line="245" w:lineRule="auto"/>
      </w:pPr>
    </w:p>
    <w:p w14:paraId="23C208FC">
      <w:pPr>
        <w:pStyle w:val="7"/>
        <w:spacing w:line="245" w:lineRule="auto"/>
      </w:pPr>
    </w:p>
    <w:p w14:paraId="7B96BFA6">
      <w:pPr>
        <w:pStyle w:val="7"/>
        <w:spacing w:line="245" w:lineRule="auto"/>
      </w:pPr>
    </w:p>
    <w:p w14:paraId="3CD0FCB7">
      <w:pPr>
        <w:pStyle w:val="7"/>
        <w:spacing w:line="245" w:lineRule="auto"/>
      </w:pPr>
    </w:p>
    <w:p w14:paraId="2B5492D1">
      <w:pPr>
        <w:pStyle w:val="7"/>
        <w:spacing w:line="245" w:lineRule="auto"/>
      </w:pPr>
    </w:p>
    <w:p w14:paraId="66D8D479">
      <w:pPr>
        <w:pStyle w:val="7"/>
        <w:spacing w:line="245" w:lineRule="auto"/>
      </w:pPr>
    </w:p>
    <w:p w14:paraId="12BBC391">
      <w:pPr>
        <w:pStyle w:val="7"/>
        <w:spacing w:line="245" w:lineRule="auto"/>
      </w:pPr>
    </w:p>
    <w:p w14:paraId="34C53466">
      <w:pPr>
        <w:pStyle w:val="7"/>
        <w:spacing w:line="245" w:lineRule="auto"/>
      </w:pPr>
    </w:p>
    <w:p w14:paraId="4AD12165">
      <w:pPr>
        <w:pStyle w:val="7"/>
        <w:spacing w:line="245" w:lineRule="auto"/>
      </w:pPr>
    </w:p>
    <w:p w14:paraId="7C25B46A">
      <w:pPr>
        <w:pStyle w:val="7"/>
        <w:spacing w:line="245" w:lineRule="auto"/>
      </w:pPr>
    </w:p>
    <w:p w14:paraId="330792E8">
      <w:pPr>
        <w:spacing w:before="101" w:line="333" w:lineRule="auto"/>
        <w:ind w:left="2851" w:leftChars="588" w:right="1262" w:hanging="1616" w:hangingChars="500"/>
        <w:rPr>
          <w:rFonts w:hint="eastAsia" w:ascii="宋体" w:hAnsi="宋体" w:eastAsia="宋体" w:cs="宋体"/>
          <w:b/>
          <w:bCs/>
          <w:spacing w:val="4"/>
          <w:sz w:val="31"/>
          <w:szCs w:val="31"/>
          <w:lang w:val="en-US" w:eastAsia="zh-CN"/>
        </w:rPr>
      </w:pPr>
      <w:r>
        <w:rPr>
          <w:rFonts w:ascii="宋体" w:hAnsi="宋体" w:eastAsia="宋体" w:cs="宋体"/>
          <w:b/>
          <w:bCs/>
          <w:spacing w:val="6"/>
          <w:sz w:val="31"/>
          <w:szCs w:val="31"/>
        </w:rPr>
        <w:t>采购人：山东济钢环保新材料有限公司</w:t>
      </w:r>
      <w:r>
        <w:rPr>
          <w:rFonts w:ascii="宋体" w:hAnsi="宋体" w:eastAsia="宋体" w:cs="宋体"/>
          <w:spacing w:val="1"/>
          <w:sz w:val="31"/>
          <w:szCs w:val="31"/>
        </w:rPr>
        <w:t xml:space="preserve"> </w:t>
      </w:r>
      <w:r>
        <w:rPr>
          <w:rFonts w:ascii="宋体" w:hAnsi="宋体" w:eastAsia="宋体" w:cs="宋体"/>
          <w:b/>
          <w:bCs/>
          <w:spacing w:val="4"/>
          <w:sz w:val="31"/>
          <w:szCs w:val="31"/>
        </w:rPr>
        <w:t>202</w:t>
      </w:r>
      <w:r>
        <w:rPr>
          <w:rFonts w:hint="eastAsia" w:ascii="宋体" w:hAnsi="宋体" w:eastAsia="宋体" w:cs="宋体"/>
          <w:b/>
          <w:bCs/>
          <w:spacing w:val="4"/>
          <w:sz w:val="31"/>
          <w:szCs w:val="31"/>
          <w:lang w:val="en-US" w:eastAsia="zh-CN"/>
        </w:rPr>
        <w:t xml:space="preserve">5 </w:t>
      </w:r>
      <w:r>
        <w:rPr>
          <w:rFonts w:ascii="宋体" w:hAnsi="宋体" w:eastAsia="宋体" w:cs="宋体"/>
          <w:b/>
          <w:bCs/>
          <w:spacing w:val="4"/>
          <w:sz w:val="31"/>
          <w:szCs w:val="31"/>
        </w:rPr>
        <w:t>年</w:t>
      </w:r>
      <w:r>
        <w:rPr>
          <w:rFonts w:hint="eastAsia" w:ascii="宋体" w:hAnsi="宋体" w:eastAsia="宋体" w:cs="宋体"/>
          <w:b/>
          <w:bCs/>
          <w:spacing w:val="4"/>
          <w:sz w:val="31"/>
          <w:szCs w:val="31"/>
          <w:lang w:val="en-US" w:eastAsia="zh-CN"/>
        </w:rPr>
        <w:t xml:space="preserve"> 7</w:t>
      </w:r>
      <w:r>
        <w:rPr>
          <w:rFonts w:ascii="宋体" w:hAnsi="宋体" w:eastAsia="宋体" w:cs="宋体"/>
          <w:b/>
          <w:bCs/>
          <w:spacing w:val="4"/>
          <w:sz w:val="31"/>
          <w:szCs w:val="31"/>
        </w:rPr>
        <w:t>月</w:t>
      </w:r>
      <w:r>
        <w:rPr>
          <w:rFonts w:hint="eastAsia" w:ascii="宋体" w:hAnsi="宋体" w:eastAsia="宋体" w:cs="宋体"/>
          <w:b/>
          <w:bCs/>
          <w:spacing w:val="4"/>
          <w:sz w:val="31"/>
          <w:szCs w:val="31"/>
          <w:lang w:val="en-US" w:eastAsia="zh-CN"/>
        </w:rPr>
        <w:t>8日</w:t>
      </w:r>
    </w:p>
    <w:p w14:paraId="10228BB0">
      <w:pPr>
        <w:spacing w:before="101" w:line="333" w:lineRule="auto"/>
        <w:ind w:left="2512" w:leftChars="588" w:right="1262" w:hanging="1277" w:hangingChars="400"/>
        <w:rPr>
          <w:rFonts w:hint="eastAsia" w:ascii="宋体" w:hAnsi="宋体" w:eastAsia="宋体" w:cs="宋体"/>
          <w:b/>
          <w:bCs/>
          <w:spacing w:val="4"/>
          <w:sz w:val="31"/>
          <w:szCs w:val="31"/>
          <w:lang w:val="en-US" w:eastAsia="zh-CN"/>
        </w:rPr>
        <w:sectPr>
          <w:footerReference r:id="rId5" w:type="default"/>
          <w:pgSz w:w="11906" w:h="16839"/>
          <w:pgMar w:top="1431" w:right="1785" w:bottom="1362" w:left="1785" w:header="0" w:footer="1200" w:gutter="0"/>
          <w:cols w:space="720" w:num="1"/>
        </w:sectPr>
      </w:pPr>
    </w:p>
    <w:p w14:paraId="4B0F85E5">
      <w:pPr>
        <w:spacing w:before="119" w:line="225" w:lineRule="auto"/>
        <w:ind w:left="2239"/>
        <w:rPr>
          <w:rFonts w:hint="eastAsia" w:ascii="黑体" w:hAnsi="黑体" w:eastAsia="黑体" w:cs="黑体"/>
          <w:sz w:val="35"/>
          <w:szCs w:val="35"/>
          <w:lang w:eastAsia="zh-CN"/>
        </w:rPr>
      </w:pPr>
      <w:r>
        <w:rPr>
          <w:rFonts w:ascii="黑体" w:hAnsi="黑体" w:eastAsia="黑体" w:cs="黑体"/>
          <w:b/>
          <w:bCs/>
          <w:spacing w:val="6"/>
          <w:sz w:val="35"/>
          <w:szCs w:val="35"/>
        </w:rPr>
        <w:t>第一章</w:t>
      </w:r>
      <w:r>
        <w:rPr>
          <w:rFonts w:ascii="黑体" w:hAnsi="黑体" w:eastAsia="黑体" w:cs="黑体"/>
          <w:spacing w:val="6"/>
          <w:sz w:val="35"/>
          <w:szCs w:val="35"/>
        </w:rPr>
        <w:t xml:space="preserve">   </w:t>
      </w:r>
      <w:r>
        <w:rPr>
          <w:rFonts w:ascii="黑体" w:hAnsi="黑体" w:eastAsia="黑体" w:cs="黑体"/>
          <w:b/>
          <w:bCs/>
          <w:spacing w:val="6"/>
          <w:sz w:val="35"/>
          <w:szCs w:val="35"/>
        </w:rPr>
        <w:t>竞争性</w:t>
      </w:r>
      <w:r>
        <w:rPr>
          <w:rFonts w:hint="eastAsia" w:ascii="黑体" w:hAnsi="黑体" w:eastAsia="黑体" w:cs="黑体"/>
          <w:b/>
          <w:bCs/>
          <w:spacing w:val="6"/>
          <w:sz w:val="35"/>
          <w:szCs w:val="35"/>
          <w:lang w:eastAsia="zh-CN"/>
        </w:rPr>
        <w:t>谈判公告</w:t>
      </w:r>
    </w:p>
    <w:p w14:paraId="3B654E94">
      <w:pPr>
        <w:spacing w:before="179" w:line="219" w:lineRule="auto"/>
        <w:ind w:left="6"/>
        <w:rPr>
          <w:rFonts w:hint="eastAsia" w:ascii="宋体" w:hAnsi="宋体" w:eastAsia="宋体" w:cs="宋体"/>
          <w:sz w:val="24"/>
          <w:szCs w:val="24"/>
          <w:lang w:eastAsia="zh-CN"/>
        </w:rPr>
      </w:pPr>
      <w:r>
        <w:rPr>
          <w:rFonts w:ascii="宋体" w:hAnsi="宋体" w:eastAsia="宋体" w:cs="宋体"/>
          <w:b/>
          <w:bCs/>
          <w:spacing w:val="-5"/>
          <w:sz w:val="24"/>
          <w:szCs w:val="24"/>
        </w:rPr>
        <w:t>一、采购编号：</w:t>
      </w:r>
      <w:r>
        <w:rPr>
          <w:rFonts w:hint="eastAsia" w:ascii="宋体" w:hAnsi="宋体" w:eastAsia="宋体" w:cs="宋体"/>
          <w:b/>
          <w:bCs/>
          <w:spacing w:val="-5"/>
          <w:sz w:val="24"/>
          <w:szCs w:val="24"/>
        </w:rPr>
        <w:t>1173250704001</w:t>
      </w:r>
    </w:p>
    <w:p w14:paraId="727A70A7">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78" w:leftChars="2" w:hanging="474" w:hangingChars="200"/>
        <w:textAlignment w:val="baseline"/>
        <w:rPr>
          <w:rFonts w:hint="eastAsia" w:ascii="宋体" w:hAnsi="宋体" w:eastAsia="宋体" w:cs="宋体"/>
          <w:sz w:val="24"/>
          <w:szCs w:val="24"/>
          <w:lang w:eastAsia="zh-CN"/>
        </w:rPr>
      </w:pPr>
      <w:r>
        <w:rPr>
          <w:rFonts w:ascii="宋体" w:hAnsi="宋体" w:eastAsia="宋体" w:cs="宋体"/>
          <w:b/>
          <w:bCs/>
          <w:spacing w:val="-2"/>
          <w:sz w:val="24"/>
          <w:szCs w:val="24"/>
        </w:rPr>
        <w:t>二、采购项目名称：</w:t>
      </w:r>
      <w:r>
        <w:rPr>
          <w:rFonts w:hint="eastAsia" w:ascii="宋体" w:hAnsi="宋体" w:eastAsia="宋体" w:cs="宋体"/>
          <w:spacing w:val="-2"/>
          <w:sz w:val="24"/>
          <w:szCs w:val="24"/>
        </w:rPr>
        <w:t>山东济钢环保新材料有限公司</w:t>
      </w:r>
      <w:r>
        <w:rPr>
          <w:rFonts w:hint="eastAsia" w:ascii="宋体" w:hAnsi="宋体" w:eastAsia="宋体" w:cs="宋体"/>
          <w:spacing w:val="-2"/>
          <w:sz w:val="24"/>
          <w:szCs w:val="24"/>
          <w:lang w:eastAsia="zh-CN"/>
        </w:rPr>
        <w:t>东矿区原弓角湾村范围矿山边界安全护栏施工采购</w:t>
      </w:r>
    </w:p>
    <w:p w14:paraId="5A25CA7A">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textAlignment w:val="baseline"/>
        <w:rPr>
          <w:rFonts w:hint="eastAsia" w:ascii="宋体" w:hAnsi="宋体" w:eastAsia="宋体" w:cs="宋体"/>
          <w:spacing w:val="1"/>
          <w:sz w:val="24"/>
          <w:szCs w:val="24"/>
        </w:rPr>
      </w:pPr>
      <w:r>
        <w:rPr>
          <w:rFonts w:ascii="宋体" w:hAnsi="宋体" w:eastAsia="宋体" w:cs="宋体"/>
          <w:b/>
          <w:bCs/>
          <w:spacing w:val="1"/>
          <w:sz w:val="24"/>
          <w:szCs w:val="24"/>
        </w:rPr>
        <w:t>三、采购项目范围：</w:t>
      </w:r>
      <w:r>
        <w:rPr>
          <w:rFonts w:hint="eastAsia" w:ascii="宋体" w:hAnsi="宋体" w:eastAsia="宋体" w:cs="宋体"/>
          <w:spacing w:val="1"/>
          <w:sz w:val="24"/>
          <w:szCs w:val="24"/>
        </w:rPr>
        <w:t>指定区域范围内全部</w:t>
      </w:r>
      <w:r>
        <w:rPr>
          <w:rFonts w:hint="eastAsia" w:ascii="宋体" w:hAnsi="宋体" w:eastAsia="宋体" w:cs="宋体"/>
          <w:spacing w:val="1"/>
          <w:sz w:val="24"/>
          <w:szCs w:val="24"/>
          <w:lang w:eastAsia="zh-CN"/>
        </w:rPr>
        <w:t>围栏</w:t>
      </w:r>
      <w:r>
        <w:rPr>
          <w:rFonts w:hint="eastAsia" w:ascii="宋体" w:hAnsi="宋体" w:eastAsia="宋体" w:cs="宋体"/>
          <w:spacing w:val="1"/>
          <w:sz w:val="24"/>
          <w:szCs w:val="24"/>
        </w:rPr>
        <w:t>工程的施工、验收及保修工作</w:t>
      </w:r>
      <w:r>
        <w:rPr>
          <w:rFonts w:hint="eastAsia" w:ascii="宋体" w:hAnsi="宋体" w:eastAsia="宋体" w:cs="宋体"/>
          <w:spacing w:val="1"/>
          <w:sz w:val="24"/>
          <w:szCs w:val="24"/>
          <w:lang w:eastAsia="zh-CN"/>
        </w:rPr>
        <w:t>，</w:t>
      </w:r>
      <w:r>
        <w:rPr>
          <w:rFonts w:hint="eastAsia" w:ascii="宋体" w:hAnsi="宋体" w:eastAsia="宋体" w:cs="宋体"/>
          <w:b w:val="0"/>
          <w:bCs w:val="0"/>
          <w:spacing w:val="1"/>
          <w:sz w:val="24"/>
          <w:szCs w:val="24"/>
          <w:lang w:val="en-US" w:eastAsia="zh-CN"/>
        </w:rPr>
        <w:t>包工包料</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包括</w:t>
      </w:r>
      <w:r>
        <w:rPr>
          <w:rFonts w:hint="eastAsia" w:ascii="宋体" w:hAnsi="宋体" w:eastAsia="宋体" w:cs="宋体"/>
          <w:spacing w:val="1"/>
          <w:sz w:val="24"/>
          <w:szCs w:val="24"/>
        </w:rPr>
        <w:t>基坑开挖，按照甲方要求开挖基坑</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模板支护、预埋钢管立柱、加强斜撑及混凝土浇筑</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模板拆除、基坑回填</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网片安装。</w:t>
      </w:r>
    </w:p>
    <w:p w14:paraId="5C3D12AF">
      <w:pPr>
        <w:keepNext w:val="0"/>
        <w:keepLines w:val="0"/>
        <w:pageBreakBefore w:val="0"/>
        <w:widowControl/>
        <w:kinsoku w:val="0"/>
        <w:wordWrap/>
        <w:overflowPunct/>
        <w:topLinePunct w:val="0"/>
        <w:autoSpaceDE w:val="0"/>
        <w:autoSpaceDN w:val="0"/>
        <w:bidi w:val="0"/>
        <w:adjustRightInd w:val="0"/>
        <w:snapToGrid w:val="0"/>
        <w:spacing w:line="260" w:lineRule="auto"/>
        <w:ind w:left="487" w:leftChars="200" w:right="59" w:hanging="67" w:hangingChars="28"/>
        <w:textAlignment w:val="baseline"/>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具体规格要求如下：</w:t>
      </w:r>
    </w:p>
    <w:tbl>
      <w:tblPr>
        <w:tblStyle w:val="11"/>
        <w:tblpPr w:leftFromText="180" w:rightFromText="180" w:vertAnchor="text" w:horzAnchor="page" w:tblpX="2161" w:tblpY="158"/>
        <w:tblOverlap w:val="never"/>
        <w:tblW w:w="79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6"/>
        <w:gridCol w:w="1355"/>
        <w:gridCol w:w="996"/>
        <w:gridCol w:w="4572"/>
      </w:tblGrid>
      <w:tr w14:paraId="2B136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14:paraId="09BE3B2E">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序号</w:t>
            </w:r>
          </w:p>
        </w:tc>
        <w:tc>
          <w:tcPr>
            <w:tcW w:w="1476" w:type="dxa"/>
            <w:vAlign w:val="center"/>
          </w:tcPr>
          <w:p w14:paraId="3DDA7C3A">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分项内容</w:t>
            </w:r>
          </w:p>
        </w:tc>
        <w:tc>
          <w:tcPr>
            <w:tcW w:w="708" w:type="dxa"/>
            <w:vAlign w:val="center"/>
          </w:tcPr>
          <w:p w14:paraId="01B1E1DB">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单 位</w:t>
            </w:r>
          </w:p>
        </w:tc>
        <w:tc>
          <w:tcPr>
            <w:tcW w:w="5084" w:type="dxa"/>
            <w:tcBorders>
              <w:left w:val="single" w:color="auto" w:sz="4" w:space="0"/>
            </w:tcBorders>
            <w:vAlign w:val="center"/>
          </w:tcPr>
          <w:p w14:paraId="0D7A951E">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要求</w:t>
            </w:r>
          </w:p>
        </w:tc>
      </w:tr>
      <w:tr w14:paraId="7206F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14:paraId="21F0AD14">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w:t>
            </w:r>
          </w:p>
        </w:tc>
        <w:tc>
          <w:tcPr>
            <w:tcW w:w="1476" w:type="dxa"/>
            <w:vAlign w:val="center"/>
          </w:tcPr>
          <w:p w14:paraId="6E38BAF0">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网片</w:t>
            </w:r>
          </w:p>
        </w:tc>
        <w:tc>
          <w:tcPr>
            <w:tcW w:w="708" w:type="dxa"/>
            <w:vAlign w:val="center"/>
          </w:tcPr>
          <w:p w14:paraId="6C38AB23">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片</w:t>
            </w:r>
          </w:p>
        </w:tc>
        <w:tc>
          <w:tcPr>
            <w:tcW w:w="5084" w:type="dxa"/>
            <w:tcBorders>
              <w:left w:val="single" w:color="auto" w:sz="4" w:space="0"/>
            </w:tcBorders>
            <w:vAlign w:val="center"/>
          </w:tcPr>
          <w:p w14:paraId="520972F3">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丝网镀锌并浸塑；每片2920mm*1800mm；</w:t>
            </w:r>
          </w:p>
          <w:p w14:paraId="5EFF1279">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丝径4.0mm，网孔90mm*170mm</w:t>
            </w:r>
          </w:p>
        </w:tc>
      </w:tr>
      <w:tr w14:paraId="371BC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14:paraId="7763ACB8">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2</w:t>
            </w:r>
          </w:p>
        </w:tc>
        <w:tc>
          <w:tcPr>
            <w:tcW w:w="1476" w:type="dxa"/>
            <w:vAlign w:val="center"/>
          </w:tcPr>
          <w:p w14:paraId="29AC53EA">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预埋钢管</w:t>
            </w:r>
          </w:p>
          <w:p w14:paraId="755B236E">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立柱</w:t>
            </w:r>
          </w:p>
        </w:tc>
        <w:tc>
          <w:tcPr>
            <w:tcW w:w="708" w:type="dxa"/>
            <w:vAlign w:val="center"/>
          </w:tcPr>
          <w:p w14:paraId="459A4213">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根</w:t>
            </w:r>
          </w:p>
        </w:tc>
        <w:tc>
          <w:tcPr>
            <w:tcW w:w="5084" w:type="dxa"/>
            <w:tcBorders>
              <w:left w:val="single" w:color="auto" w:sz="4" w:space="0"/>
            </w:tcBorders>
            <w:vAlign w:val="center"/>
          </w:tcPr>
          <w:p w14:paraId="2E5AA5A6">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Φ48mm*3mm圆管镀锌并浸塑，总长度：2.1m，埋深300mm，立柱间距：3m。</w:t>
            </w:r>
          </w:p>
        </w:tc>
      </w:tr>
      <w:tr w14:paraId="471BA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651" w:type="dxa"/>
            <w:vAlign w:val="center"/>
          </w:tcPr>
          <w:p w14:paraId="5AE2356F">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3</w:t>
            </w:r>
          </w:p>
        </w:tc>
        <w:tc>
          <w:tcPr>
            <w:tcW w:w="1476" w:type="dxa"/>
            <w:vAlign w:val="center"/>
          </w:tcPr>
          <w:p w14:paraId="6EC8FF9B">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砼基础</w:t>
            </w:r>
          </w:p>
        </w:tc>
        <w:tc>
          <w:tcPr>
            <w:tcW w:w="708" w:type="dxa"/>
            <w:vAlign w:val="center"/>
          </w:tcPr>
          <w:p w14:paraId="2D0C1F06">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组</w:t>
            </w:r>
          </w:p>
        </w:tc>
        <w:tc>
          <w:tcPr>
            <w:tcW w:w="5084" w:type="dxa"/>
            <w:tcBorders>
              <w:left w:val="single" w:color="auto" w:sz="4" w:space="0"/>
            </w:tcBorders>
            <w:vAlign w:val="center"/>
          </w:tcPr>
          <w:p w14:paraId="080EF062">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挖运土石方，支模板，浇筑C25砼基础，基础400mm*400mm*500mm。</w:t>
            </w:r>
          </w:p>
        </w:tc>
      </w:tr>
    </w:tbl>
    <w:p w14:paraId="746611A7">
      <w:pPr>
        <w:keepNext w:val="0"/>
        <w:keepLines w:val="0"/>
        <w:pageBreakBefore w:val="0"/>
        <w:widowControl/>
        <w:kinsoku w:val="0"/>
        <w:wordWrap/>
        <w:overflowPunct/>
        <w:topLinePunct w:val="0"/>
        <w:autoSpaceDE w:val="0"/>
        <w:autoSpaceDN w:val="0"/>
        <w:bidi w:val="0"/>
        <w:adjustRightInd/>
        <w:snapToGrid/>
        <w:spacing w:line="240" w:lineRule="auto"/>
        <w:ind w:left="0" w:right="0" w:firstLine="0"/>
        <w:textAlignment w:val="baseline"/>
        <w:rPr>
          <w:rFonts w:hint="eastAsia" w:ascii="宋体" w:hAnsi="宋体" w:eastAsia="宋体" w:cs="宋体"/>
          <w:spacing w:val="1"/>
          <w:sz w:val="24"/>
          <w:szCs w:val="24"/>
        </w:rPr>
      </w:pPr>
    </w:p>
    <w:p w14:paraId="28B01937">
      <w:pPr>
        <w:spacing w:before="105" w:line="220" w:lineRule="auto"/>
        <w:ind w:left="20"/>
        <w:rPr>
          <w:rFonts w:ascii="宋体" w:hAnsi="宋体" w:eastAsia="宋体" w:cs="宋体"/>
          <w:sz w:val="24"/>
          <w:szCs w:val="24"/>
        </w:rPr>
      </w:pPr>
      <w:r>
        <w:rPr>
          <w:rFonts w:ascii="宋体" w:hAnsi="宋体" w:eastAsia="宋体" w:cs="宋体"/>
          <w:b/>
          <w:bCs/>
          <w:spacing w:val="-5"/>
          <w:sz w:val="24"/>
          <w:szCs w:val="24"/>
        </w:rPr>
        <w:t>四、</w:t>
      </w:r>
      <w:r>
        <w:rPr>
          <w:rFonts w:ascii="宋体" w:hAnsi="宋体" w:eastAsia="宋体" w:cs="宋体"/>
          <w:b/>
          <w:bCs/>
          <w:spacing w:val="-5"/>
          <w:sz w:val="24"/>
          <w:szCs w:val="24"/>
          <w:highlight w:val="none"/>
        </w:rPr>
        <w:t>工期</w:t>
      </w:r>
      <w:r>
        <w:rPr>
          <w:rFonts w:ascii="宋体" w:hAnsi="宋体" w:eastAsia="宋体" w:cs="宋体"/>
          <w:b/>
          <w:bCs/>
          <w:spacing w:val="-5"/>
          <w:sz w:val="24"/>
          <w:szCs w:val="24"/>
        </w:rPr>
        <w:t>：</w:t>
      </w:r>
      <w:r>
        <w:rPr>
          <w:rFonts w:hint="eastAsia" w:ascii="宋体" w:hAnsi="宋体" w:eastAsia="宋体" w:cs="宋体"/>
          <w:b w:val="0"/>
          <w:bCs w:val="0"/>
          <w:color w:val="auto"/>
          <w:spacing w:val="-5"/>
          <w:sz w:val="24"/>
          <w:szCs w:val="24"/>
          <w:lang w:val="en-US" w:eastAsia="zh-CN"/>
        </w:rPr>
        <w:t>45</w:t>
      </w:r>
      <w:r>
        <w:rPr>
          <w:rFonts w:ascii="宋体" w:hAnsi="宋体" w:eastAsia="宋体" w:cs="宋体"/>
          <w:color w:val="auto"/>
          <w:spacing w:val="-5"/>
          <w:sz w:val="24"/>
          <w:szCs w:val="24"/>
        </w:rPr>
        <w:t>日历天</w:t>
      </w:r>
      <w:r>
        <w:rPr>
          <w:rFonts w:ascii="宋体" w:hAnsi="宋体" w:eastAsia="宋体" w:cs="宋体"/>
          <w:spacing w:val="-5"/>
          <w:sz w:val="24"/>
          <w:szCs w:val="24"/>
        </w:rPr>
        <w:t>，合同生效当日开始。</w:t>
      </w:r>
    </w:p>
    <w:p w14:paraId="4CE45E3F">
      <w:pPr>
        <w:spacing w:before="103" w:line="219" w:lineRule="auto"/>
        <w:ind w:left="6"/>
        <w:rPr>
          <w:rFonts w:ascii="宋体" w:hAnsi="宋体" w:eastAsia="宋体" w:cs="宋体"/>
          <w:sz w:val="24"/>
          <w:szCs w:val="24"/>
        </w:rPr>
      </w:pPr>
      <w:r>
        <w:rPr>
          <w:rFonts w:ascii="宋体" w:hAnsi="宋体" w:eastAsia="宋体" w:cs="宋体"/>
          <w:b/>
          <w:bCs/>
          <w:spacing w:val="-4"/>
          <w:sz w:val="24"/>
          <w:szCs w:val="24"/>
        </w:rPr>
        <w:t>五、</w:t>
      </w:r>
      <w:r>
        <w:rPr>
          <w:rFonts w:hint="eastAsia" w:ascii="宋体" w:hAnsi="宋体" w:eastAsia="宋体" w:cs="宋体"/>
          <w:b/>
          <w:bCs/>
          <w:spacing w:val="-4"/>
          <w:sz w:val="24"/>
          <w:szCs w:val="24"/>
          <w:lang w:val="en-US" w:eastAsia="zh-CN"/>
        </w:rPr>
        <w:t>供应商</w:t>
      </w:r>
      <w:r>
        <w:rPr>
          <w:rFonts w:ascii="宋体" w:hAnsi="宋体" w:eastAsia="宋体" w:cs="宋体"/>
          <w:b/>
          <w:bCs/>
          <w:spacing w:val="-4"/>
          <w:sz w:val="24"/>
          <w:szCs w:val="24"/>
        </w:rPr>
        <w:t>资格要求</w:t>
      </w:r>
    </w:p>
    <w:p w14:paraId="203066E7">
      <w:pPr>
        <w:keepNext w:val="0"/>
        <w:keepLines w:val="0"/>
        <w:pageBreakBefore w:val="0"/>
        <w:widowControl/>
        <w:kinsoku w:val="0"/>
        <w:wordWrap/>
        <w:overflowPunct/>
        <w:topLinePunct w:val="0"/>
        <w:autoSpaceDE w:val="0"/>
        <w:autoSpaceDN w:val="0"/>
        <w:bidi w:val="0"/>
        <w:adjustRightInd w:val="0"/>
        <w:snapToGrid w:val="0"/>
        <w:spacing w:line="360" w:lineRule="auto"/>
        <w:ind w:right="-6" w:firstLine="464" w:firstLineChars="200"/>
        <w:textAlignment w:val="baseline"/>
        <w:rPr>
          <w:rFonts w:ascii="宋体" w:hAnsi="宋体" w:eastAsia="宋体" w:cs="宋体"/>
          <w:sz w:val="24"/>
          <w:szCs w:val="24"/>
        </w:rPr>
      </w:pPr>
      <w:r>
        <w:rPr>
          <w:rFonts w:ascii="宋体" w:hAnsi="宋体" w:eastAsia="宋体" w:cs="宋体"/>
          <w:spacing w:val="-4"/>
          <w:sz w:val="24"/>
          <w:szCs w:val="24"/>
        </w:rPr>
        <w:t>1、资质要求：依法成立，具有法人资格和一般纳税人资格，营业范围</w:t>
      </w:r>
      <w:r>
        <w:rPr>
          <w:rFonts w:ascii="宋体" w:hAnsi="宋体" w:eastAsia="宋体" w:cs="宋体"/>
          <w:spacing w:val="-5"/>
          <w:sz w:val="24"/>
          <w:szCs w:val="24"/>
        </w:rPr>
        <w:t>包含本项</w:t>
      </w:r>
      <w:r>
        <w:rPr>
          <w:rFonts w:ascii="宋体" w:hAnsi="宋体" w:eastAsia="宋体" w:cs="宋体"/>
          <w:spacing w:val="-13"/>
          <w:sz w:val="24"/>
          <w:szCs w:val="24"/>
        </w:rPr>
        <w:t>内容；</w:t>
      </w:r>
    </w:p>
    <w:p w14:paraId="44169628">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2" w:firstLineChars="200"/>
        <w:textAlignment w:val="baseline"/>
        <w:rPr>
          <w:rFonts w:ascii="宋体" w:hAnsi="宋体" w:eastAsia="宋体" w:cs="宋体"/>
          <w:sz w:val="24"/>
          <w:szCs w:val="24"/>
        </w:rPr>
      </w:pPr>
      <w:r>
        <w:rPr>
          <w:rFonts w:ascii="宋体" w:hAnsi="宋体" w:eastAsia="宋体" w:cs="宋体"/>
          <w:spacing w:val="-2"/>
          <w:sz w:val="24"/>
          <w:szCs w:val="24"/>
        </w:rPr>
        <w:t>2、业绩要求：近三年完成过类似工程</w:t>
      </w:r>
      <w:r>
        <w:rPr>
          <w:rFonts w:ascii="宋体" w:hAnsi="宋体" w:eastAsia="宋体" w:cs="宋体"/>
          <w:spacing w:val="-31"/>
          <w:sz w:val="24"/>
          <w:szCs w:val="24"/>
        </w:rPr>
        <w:t xml:space="preserve"> </w:t>
      </w:r>
      <w:r>
        <w:rPr>
          <w:rFonts w:ascii="宋体" w:hAnsi="宋体" w:eastAsia="宋体" w:cs="宋体"/>
          <w:spacing w:val="-2"/>
          <w:sz w:val="24"/>
          <w:szCs w:val="24"/>
        </w:rPr>
        <w:t>1</w:t>
      </w:r>
      <w:r>
        <w:rPr>
          <w:rFonts w:ascii="宋体" w:hAnsi="宋体" w:eastAsia="宋体" w:cs="宋体"/>
          <w:spacing w:val="-51"/>
          <w:sz w:val="24"/>
          <w:szCs w:val="24"/>
        </w:rPr>
        <w:t xml:space="preserve"> </w:t>
      </w:r>
      <w:r>
        <w:rPr>
          <w:rFonts w:ascii="宋体" w:hAnsi="宋体" w:eastAsia="宋体" w:cs="宋体"/>
          <w:spacing w:val="-2"/>
          <w:sz w:val="24"/>
          <w:szCs w:val="24"/>
        </w:rPr>
        <w:t>个及以上的业绩</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需要提供合同扫描件</w:t>
      </w:r>
      <w:r>
        <w:rPr>
          <w:rFonts w:ascii="宋体" w:hAnsi="宋体" w:eastAsia="宋体" w:cs="宋体"/>
          <w:spacing w:val="-2"/>
          <w:sz w:val="24"/>
          <w:szCs w:val="24"/>
        </w:rPr>
        <w:t>；</w:t>
      </w:r>
    </w:p>
    <w:p w14:paraId="717BA749">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6" w:firstLineChars="200"/>
        <w:textAlignment w:val="baseline"/>
        <w:rPr>
          <w:rFonts w:ascii="宋体" w:hAnsi="宋体" w:eastAsia="宋体" w:cs="宋体"/>
          <w:sz w:val="24"/>
          <w:szCs w:val="24"/>
        </w:rPr>
      </w:pPr>
      <w:r>
        <w:rPr>
          <w:rFonts w:ascii="宋体" w:hAnsi="宋体" w:eastAsia="宋体" w:cs="宋体"/>
          <w:spacing w:val="-1"/>
          <w:sz w:val="24"/>
          <w:szCs w:val="24"/>
        </w:rPr>
        <w:t>3、具有履行合同必需的装备、专业技术、资质能力；</w:t>
      </w:r>
    </w:p>
    <w:p w14:paraId="7F4A7D1B">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8"/>
        <w:textAlignment w:val="baseline"/>
        <w:rPr>
          <w:rFonts w:ascii="宋体" w:hAnsi="宋体" w:eastAsia="宋体" w:cs="宋体"/>
          <w:sz w:val="24"/>
          <w:szCs w:val="24"/>
        </w:rPr>
      </w:pPr>
      <w:r>
        <w:rPr>
          <w:rFonts w:ascii="宋体" w:hAnsi="宋体" w:eastAsia="宋体" w:cs="宋体"/>
          <w:spacing w:val="-4"/>
          <w:sz w:val="24"/>
          <w:szCs w:val="24"/>
        </w:rPr>
        <w:t>4、</w:t>
      </w:r>
      <w:r>
        <w:rPr>
          <w:rFonts w:hint="eastAsia" w:ascii="宋体" w:hAnsi="宋体" w:eastAsia="宋体" w:cs="宋体"/>
          <w:spacing w:val="-4"/>
          <w:sz w:val="24"/>
          <w:szCs w:val="24"/>
          <w:lang w:val="en-US" w:eastAsia="zh-CN"/>
        </w:rPr>
        <w:t>供应商</w:t>
      </w:r>
      <w:r>
        <w:rPr>
          <w:rFonts w:ascii="宋体" w:hAnsi="宋体" w:eastAsia="宋体" w:cs="宋体"/>
          <w:spacing w:val="-4"/>
          <w:sz w:val="24"/>
          <w:szCs w:val="24"/>
        </w:rPr>
        <w:t>须遵守中华人民共和国有关法律、法规，无</w:t>
      </w:r>
      <w:r>
        <w:rPr>
          <w:rFonts w:ascii="宋体" w:hAnsi="宋体" w:eastAsia="宋体" w:cs="宋体"/>
          <w:spacing w:val="-5"/>
          <w:sz w:val="24"/>
          <w:szCs w:val="24"/>
        </w:rPr>
        <w:t>重大违法违约行为。“通</w:t>
      </w:r>
      <w:r>
        <w:rPr>
          <w:rFonts w:ascii="宋体" w:hAnsi="宋体" w:eastAsia="宋体" w:cs="宋体"/>
          <w:sz w:val="24"/>
          <w:szCs w:val="24"/>
        </w:rPr>
        <w:t xml:space="preserve"> </w:t>
      </w:r>
      <w:r>
        <w:rPr>
          <w:rFonts w:ascii="宋体" w:hAnsi="宋体" w:eastAsia="宋体" w:cs="宋体"/>
          <w:spacing w:val="-9"/>
          <w:sz w:val="24"/>
          <w:szCs w:val="24"/>
        </w:rPr>
        <w:t>过</w:t>
      </w:r>
      <w:r>
        <w:rPr>
          <w:rFonts w:ascii="宋体" w:hAnsi="宋体" w:eastAsia="宋体" w:cs="宋体"/>
          <w:spacing w:val="-46"/>
          <w:sz w:val="24"/>
          <w:szCs w:val="24"/>
        </w:rPr>
        <w:t xml:space="preserve"> </w:t>
      </w:r>
      <w:r>
        <w:rPr>
          <w:rFonts w:ascii="宋体" w:hAnsi="宋体" w:eastAsia="宋体" w:cs="宋体"/>
          <w:spacing w:val="-9"/>
          <w:sz w:val="24"/>
          <w:szCs w:val="24"/>
        </w:rPr>
        <w:t>“</w:t>
      </w:r>
      <w:r>
        <w:rPr>
          <w:rFonts w:ascii="宋体" w:hAnsi="宋体" w:eastAsia="宋体" w:cs="宋体"/>
          <w:spacing w:val="-36"/>
          <w:sz w:val="24"/>
          <w:szCs w:val="24"/>
        </w:rPr>
        <w:t xml:space="preserve"> </w:t>
      </w:r>
      <w:r>
        <w:rPr>
          <w:rFonts w:ascii="宋体" w:hAnsi="宋体" w:eastAsia="宋体" w:cs="宋体"/>
          <w:spacing w:val="-9"/>
          <w:sz w:val="24"/>
          <w:szCs w:val="24"/>
        </w:rPr>
        <w:t>信</w:t>
      </w:r>
      <w:r>
        <w:rPr>
          <w:rFonts w:ascii="宋体" w:hAnsi="宋体" w:eastAsia="宋体" w:cs="宋体"/>
          <w:spacing w:val="-34"/>
          <w:sz w:val="24"/>
          <w:szCs w:val="24"/>
        </w:rPr>
        <w:t xml:space="preserve"> </w:t>
      </w:r>
      <w:r>
        <w:rPr>
          <w:rFonts w:ascii="宋体" w:hAnsi="宋体" w:eastAsia="宋体" w:cs="宋体"/>
          <w:spacing w:val="-9"/>
          <w:sz w:val="24"/>
          <w:szCs w:val="24"/>
        </w:rPr>
        <w:t>用 中 国 ”</w:t>
      </w:r>
      <w:r>
        <w:rPr>
          <w:rFonts w:ascii="宋体" w:hAnsi="宋体" w:eastAsia="宋体" w:cs="宋体"/>
          <w:spacing w:val="-50"/>
          <w:sz w:val="24"/>
          <w:szCs w:val="24"/>
        </w:rPr>
        <w:t xml:space="preserve"> </w:t>
      </w:r>
      <w:r>
        <w:rPr>
          <w:rFonts w:ascii="宋体" w:hAnsi="宋体" w:eastAsia="宋体" w:cs="宋体"/>
          <w:spacing w:val="-9"/>
          <w:sz w:val="24"/>
          <w:szCs w:val="24"/>
        </w:rPr>
        <w:t>网</w:t>
      </w:r>
      <w:r>
        <w:rPr>
          <w:rFonts w:ascii="宋体" w:hAnsi="宋体" w:eastAsia="宋体" w:cs="宋体"/>
          <w:spacing w:val="-35"/>
          <w:sz w:val="24"/>
          <w:szCs w:val="24"/>
        </w:rPr>
        <w:t xml:space="preserve"> </w:t>
      </w:r>
      <w:r>
        <w:rPr>
          <w:rFonts w:ascii="宋体" w:hAnsi="宋体" w:eastAsia="宋体" w:cs="宋体"/>
          <w:spacing w:val="-9"/>
          <w:sz w:val="24"/>
          <w:szCs w:val="24"/>
        </w:rPr>
        <w:t>站</w:t>
      </w:r>
      <w:r>
        <w:rPr>
          <w:rFonts w:ascii="宋体" w:hAnsi="宋体" w:eastAsia="宋体" w:cs="宋体"/>
          <w:spacing w:val="-46"/>
          <w:sz w:val="24"/>
          <w:szCs w:val="24"/>
        </w:rPr>
        <w:t xml:space="preserve"> </w:t>
      </w:r>
      <w:r>
        <w:rPr>
          <w:rFonts w:ascii="宋体" w:hAnsi="宋体" w:eastAsia="宋体" w:cs="宋体"/>
          <w:spacing w:val="-9"/>
          <w:sz w:val="24"/>
          <w:szCs w:val="24"/>
        </w:rPr>
        <w:t>（ www.creditchi</w:t>
      </w:r>
      <w:r>
        <w:rPr>
          <w:rFonts w:ascii="宋体" w:hAnsi="宋体" w:eastAsia="宋体" w:cs="宋体"/>
          <w:spacing w:val="-10"/>
          <w:sz w:val="24"/>
          <w:szCs w:val="24"/>
        </w:rPr>
        <w:t>na.gov.cn ） 、</w:t>
      </w:r>
      <w:r>
        <w:rPr>
          <w:rFonts w:ascii="宋体" w:hAnsi="宋体" w:eastAsia="宋体" w:cs="宋体"/>
          <w:spacing w:val="-13"/>
          <w:sz w:val="24"/>
          <w:szCs w:val="24"/>
        </w:rPr>
        <w:t xml:space="preserve"> </w:t>
      </w:r>
      <w:r>
        <w:rPr>
          <w:rFonts w:ascii="宋体" w:hAnsi="宋体" w:eastAsia="宋体" w:cs="宋体"/>
          <w:spacing w:val="-10"/>
          <w:sz w:val="24"/>
          <w:szCs w:val="24"/>
        </w:rPr>
        <w:t>中 国</w:t>
      </w:r>
      <w:r>
        <w:rPr>
          <w:rFonts w:ascii="宋体" w:hAnsi="宋体" w:eastAsia="宋体" w:cs="宋体"/>
          <w:spacing w:val="-38"/>
          <w:sz w:val="24"/>
          <w:szCs w:val="24"/>
        </w:rPr>
        <w:t xml:space="preserve"> </w:t>
      </w:r>
      <w:r>
        <w:rPr>
          <w:rFonts w:ascii="宋体" w:hAnsi="宋体" w:eastAsia="宋体" w:cs="宋体"/>
          <w:spacing w:val="-10"/>
          <w:sz w:val="24"/>
          <w:szCs w:val="24"/>
        </w:rPr>
        <w:t>政</w:t>
      </w:r>
      <w:r>
        <w:rPr>
          <w:rFonts w:ascii="宋体" w:hAnsi="宋体" w:eastAsia="宋体" w:cs="宋体"/>
          <w:spacing w:val="-37"/>
          <w:sz w:val="24"/>
          <w:szCs w:val="24"/>
        </w:rPr>
        <w:t xml:space="preserve"> </w:t>
      </w:r>
      <w:r>
        <w:rPr>
          <w:rFonts w:ascii="宋体" w:hAnsi="宋体" w:eastAsia="宋体" w:cs="宋体"/>
          <w:spacing w:val="-10"/>
          <w:sz w:val="24"/>
          <w:szCs w:val="24"/>
        </w:rPr>
        <w:t>府</w:t>
      </w:r>
      <w:r>
        <w:rPr>
          <w:rFonts w:ascii="宋体" w:hAnsi="宋体" w:eastAsia="宋体" w:cs="宋体"/>
          <w:spacing w:val="-33"/>
          <w:sz w:val="24"/>
          <w:szCs w:val="24"/>
        </w:rPr>
        <w:t xml:space="preserve"> </w:t>
      </w:r>
      <w:r>
        <w:rPr>
          <w:rFonts w:ascii="宋体" w:hAnsi="宋体" w:eastAsia="宋体" w:cs="宋体"/>
          <w:spacing w:val="-10"/>
          <w:sz w:val="24"/>
          <w:szCs w:val="24"/>
        </w:rPr>
        <w:t>招</w:t>
      </w:r>
      <w:r>
        <w:rPr>
          <w:rFonts w:ascii="宋体" w:hAnsi="宋体" w:eastAsia="宋体" w:cs="宋体"/>
          <w:spacing w:val="-35"/>
          <w:sz w:val="24"/>
          <w:szCs w:val="24"/>
        </w:rPr>
        <w:t xml:space="preserve"> </w:t>
      </w:r>
      <w:r>
        <w:rPr>
          <w:rFonts w:ascii="宋体" w:hAnsi="宋体" w:eastAsia="宋体" w:cs="宋体"/>
          <w:spacing w:val="-10"/>
          <w:sz w:val="24"/>
          <w:szCs w:val="24"/>
        </w:rPr>
        <w:t>标</w:t>
      </w:r>
      <w:r>
        <w:rPr>
          <w:rFonts w:ascii="宋体" w:hAnsi="宋体" w:eastAsia="宋体" w:cs="宋体"/>
          <w:spacing w:val="-17"/>
          <w:sz w:val="24"/>
          <w:szCs w:val="24"/>
        </w:rPr>
        <w:t xml:space="preserve"> </w:t>
      </w:r>
      <w:r>
        <w:rPr>
          <w:rFonts w:ascii="宋体" w:hAnsi="宋体" w:eastAsia="宋体" w:cs="宋体"/>
          <w:spacing w:val="-10"/>
          <w:sz w:val="24"/>
          <w:szCs w:val="24"/>
        </w:rPr>
        <w:t>网</w:t>
      </w:r>
    </w:p>
    <w:p w14:paraId="55FEE7F8">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11"/>
        <w:textAlignment w:val="baseline"/>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z w:val="24"/>
          <w:szCs w:val="24"/>
        </w:rPr>
        <w:t>www</w:t>
      </w:r>
      <w:r>
        <w:rPr>
          <w:rFonts w:ascii="宋体" w:hAnsi="宋体" w:eastAsia="宋体" w:cs="宋体"/>
          <w:spacing w:val="1"/>
          <w:sz w:val="24"/>
          <w:szCs w:val="24"/>
        </w:rPr>
        <w:t>.</w:t>
      </w:r>
      <w:r>
        <w:rPr>
          <w:rFonts w:ascii="宋体" w:hAnsi="宋体" w:eastAsia="宋体" w:cs="宋体"/>
          <w:sz w:val="24"/>
          <w:szCs w:val="24"/>
        </w:rPr>
        <w:t>ccgp</w:t>
      </w:r>
      <w:r>
        <w:rPr>
          <w:rFonts w:ascii="宋体" w:hAnsi="宋体" w:eastAsia="宋体" w:cs="宋体"/>
          <w:spacing w:val="1"/>
          <w:sz w:val="24"/>
          <w:szCs w:val="24"/>
        </w:rPr>
        <w:t>.</w:t>
      </w:r>
      <w:r>
        <w:rPr>
          <w:rFonts w:ascii="宋体" w:hAnsi="宋体" w:eastAsia="宋体" w:cs="宋体"/>
          <w:sz w:val="24"/>
          <w:szCs w:val="24"/>
        </w:rPr>
        <w:t>gov</w:t>
      </w:r>
      <w:r>
        <w:rPr>
          <w:rFonts w:ascii="宋体" w:hAnsi="宋体" w:eastAsia="宋体" w:cs="宋体"/>
          <w:spacing w:val="1"/>
          <w:sz w:val="24"/>
          <w:szCs w:val="24"/>
        </w:rPr>
        <w:t>.</w:t>
      </w:r>
      <w:r>
        <w:rPr>
          <w:rFonts w:ascii="宋体" w:hAnsi="宋体" w:eastAsia="宋体" w:cs="宋体"/>
          <w:sz w:val="24"/>
          <w:szCs w:val="24"/>
        </w:rPr>
        <w:t>cn</w:t>
      </w:r>
      <w:r>
        <w:rPr>
          <w:rFonts w:ascii="宋体" w:hAnsi="宋体" w:eastAsia="宋体" w:cs="宋体"/>
          <w:spacing w:val="1"/>
          <w:sz w:val="24"/>
          <w:szCs w:val="24"/>
        </w:rPr>
        <w:t>）查询，未被列入失信被执行人、重大税收违法案件当事人、</w:t>
      </w:r>
      <w:r>
        <w:rPr>
          <w:rFonts w:ascii="宋体" w:hAnsi="宋体" w:eastAsia="宋体" w:cs="宋体"/>
          <w:spacing w:val="5"/>
          <w:sz w:val="24"/>
          <w:szCs w:val="24"/>
        </w:rPr>
        <w:t xml:space="preserve"> </w:t>
      </w:r>
      <w:r>
        <w:rPr>
          <w:rFonts w:ascii="宋体" w:hAnsi="宋体" w:eastAsia="宋体" w:cs="宋体"/>
          <w:spacing w:val="-2"/>
          <w:sz w:val="24"/>
          <w:szCs w:val="24"/>
        </w:rPr>
        <w:t>政府招标严重违法失信行为记录名单</w:t>
      </w:r>
      <w:r>
        <w:rPr>
          <w:rFonts w:ascii="宋体" w:hAnsi="宋体" w:eastAsia="宋体" w:cs="宋体"/>
          <w:spacing w:val="-80"/>
          <w:sz w:val="24"/>
          <w:szCs w:val="24"/>
        </w:rPr>
        <w:t xml:space="preserve"> </w:t>
      </w:r>
      <w:r>
        <w:rPr>
          <w:rFonts w:ascii="宋体" w:hAnsi="宋体" w:eastAsia="宋体" w:cs="宋体"/>
          <w:spacing w:val="-2"/>
          <w:sz w:val="24"/>
          <w:szCs w:val="24"/>
        </w:rPr>
        <w:t>”，提供查询截屏。</w:t>
      </w:r>
    </w:p>
    <w:p w14:paraId="38713DF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6"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如有单位资料造假，一经发现，立即在网上公示，并永久取消</w:t>
      </w:r>
      <w:r>
        <w:rPr>
          <w:rFonts w:hint="eastAsia" w:ascii="宋体" w:hAnsi="宋体" w:eastAsia="宋体" w:cs="宋体"/>
          <w:spacing w:val="-1"/>
          <w:sz w:val="24"/>
          <w:szCs w:val="24"/>
          <w:lang w:val="en-US" w:eastAsia="zh-CN"/>
        </w:rPr>
        <w:t>其</w:t>
      </w:r>
      <w:r>
        <w:rPr>
          <w:rFonts w:ascii="宋体" w:hAnsi="宋体" w:eastAsia="宋体" w:cs="宋体"/>
          <w:spacing w:val="-1"/>
          <w:sz w:val="24"/>
          <w:szCs w:val="24"/>
        </w:rPr>
        <w:t>资格。</w:t>
      </w:r>
    </w:p>
    <w:p w14:paraId="52526DA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6"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lang w:val="en-US" w:eastAsia="zh-CN"/>
        </w:rPr>
        <w:t>供应商应</w:t>
      </w:r>
      <w:r>
        <w:rPr>
          <w:rFonts w:hint="eastAsia" w:ascii="宋体" w:hAnsi="宋体" w:eastAsia="宋体" w:cs="宋体"/>
          <w:spacing w:val="-1"/>
          <w:sz w:val="24"/>
          <w:szCs w:val="24"/>
        </w:rPr>
        <w:t>具有协调</w:t>
      </w:r>
      <w:r>
        <w:rPr>
          <w:rFonts w:hint="eastAsia" w:ascii="宋体" w:hAnsi="宋体" w:eastAsia="宋体" w:cs="宋体"/>
          <w:spacing w:val="-1"/>
          <w:sz w:val="24"/>
          <w:szCs w:val="24"/>
          <w:lang w:val="en-US" w:eastAsia="zh-CN"/>
        </w:rPr>
        <w:t>解决</w:t>
      </w:r>
      <w:r>
        <w:rPr>
          <w:rFonts w:hint="eastAsia" w:ascii="宋体" w:hAnsi="宋体" w:eastAsia="宋体" w:cs="宋体"/>
          <w:spacing w:val="-1"/>
          <w:sz w:val="24"/>
          <w:szCs w:val="24"/>
        </w:rPr>
        <w:t>施工所涉及</w:t>
      </w:r>
      <w:r>
        <w:rPr>
          <w:rFonts w:hint="eastAsia" w:ascii="宋体" w:hAnsi="宋体" w:eastAsia="宋体" w:cs="宋体"/>
          <w:spacing w:val="-1"/>
          <w:sz w:val="24"/>
          <w:szCs w:val="24"/>
          <w:lang w:val="en-US" w:eastAsia="zh-CN"/>
        </w:rPr>
        <w:t>产生的村庄</w:t>
      </w:r>
      <w:r>
        <w:rPr>
          <w:rFonts w:hint="eastAsia" w:ascii="宋体" w:hAnsi="宋体" w:eastAsia="宋体" w:cs="宋体"/>
          <w:spacing w:val="-1"/>
          <w:sz w:val="24"/>
          <w:szCs w:val="24"/>
        </w:rPr>
        <w:t>村民纠纷的能力，并承担</w:t>
      </w:r>
      <w:r>
        <w:rPr>
          <w:rFonts w:hint="eastAsia" w:ascii="宋体" w:hAnsi="宋体" w:eastAsia="宋体" w:cs="宋体"/>
          <w:spacing w:val="-1"/>
          <w:sz w:val="24"/>
          <w:szCs w:val="24"/>
          <w:lang w:val="en-US" w:eastAsia="zh-CN"/>
        </w:rPr>
        <w:t>因</w:t>
      </w:r>
      <w:r>
        <w:rPr>
          <w:rFonts w:hint="eastAsia" w:ascii="宋体" w:hAnsi="宋体" w:eastAsia="宋体" w:cs="宋体"/>
          <w:spacing w:val="-1"/>
          <w:sz w:val="24"/>
          <w:szCs w:val="24"/>
        </w:rPr>
        <w:t>纠纷所产生的</w:t>
      </w:r>
      <w:r>
        <w:rPr>
          <w:rFonts w:hint="eastAsia" w:ascii="宋体" w:hAnsi="宋体" w:eastAsia="宋体" w:cs="宋体"/>
          <w:spacing w:val="-1"/>
          <w:sz w:val="24"/>
          <w:szCs w:val="24"/>
          <w:lang w:val="en-US" w:eastAsia="zh-CN"/>
        </w:rPr>
        <w:t>所有</w:t>
      </w:r>
      <w:r>
        <w:rPr>
          <w:rFonts w:hint="eastAsia" w:ascii="宋体" w:hAnsi="宋体" w:eastAsia="宋体" w:cs="宋体"/>
          <w:spacing w:val="-1"/>
          <w:sz w:val="24"/>
          <w:szCs w:val="24"/>
        </w:rPr>
        <w:t>费用</w:t>
      </w:r>
      <w:r>
        <w:rPr>
          <w:rFonts w:hint="eastAsia" w:ascii="宋体" w:hAnsi="宋体" w:eastAsia="宋体" w:cs="宋体"/>
          <w:spacing w:val="-1"/>
          <w:sz w:val="24"/>
          <w:szCs w:val="24"/>
          <w:lang w:eastAsia="zh-CN"/>
        </w:rPr>
        <w:t>。</w:t>
      </w:r>
    </w:p>
    <w:p w14:paraId="4E8AE2A7">
      <w:pPr>
        <w:pStyle w:val="2"/>
        <w:ind w:left="0" w:leftChars="0" w:firstLine="476" w:firstLineChars="2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7、</w:t>
      </w:r>
      <w:r>
        <w:rPr>
          <w:rFonts w:hint="eastAsia" w:ascii="宋体" w:hAnsi="宋体" w:eastAsia="宋体" w:cs="宋体"/>
          <w:snapToGrid w:val="0"/>
          <w:color w:val="000000"/>
          <w:spacing w:val="-1"/>
          <w:kern w:val="0"/>
          <w:sz w:val="24"/>
          <w:szCs w:val="24"/>
          <w:highlight w:val="yellow"/>
          <w:lang w:val="en-US" w:eastAsia="zh-CN" w:bidi="ar-SA"/>
        </w:rPr>
        <w:t>以上6项必须同时满足，</w:t>
      </w:r>
      <w:r>
        <w:rPr>
          <w:rFonts w:hint="eastAsia" w:ascii="宋体" w:hAnsi="宋体" w:eastAsia="宋体" w:cs="宋体"/>
          <w:snapToGrid w:val="0"/>
          <w:color w:val="000000"/>
          <w:spacing w:val="-1"/>
          <w:kern w:val="0"/>
          <w:sz w:val="24"/>
          <w:szCs w:val="24"/>
          <w:lang w:val="en-US" w:eastAsia="en-US" w:bidi="ar-SA"/>
        </w:rPr>
        <w:t>如有单位资料造假，一经发现，立即在网上公示，并永久取消</w:t>
      </w:r>
      <w:r>
        <w:rPr>
          <w:rFonts w:hint="eastAsia" w:ascii="宋体" w:hAnsi="宋体" w:eastAsia="宋体" w:cs="宋体"/>
          <w:snapToGrid w:val="0"/>
          <w:color w:val="000000"/>
          <w:spacing w:val="-1"/>
          <w:kern w:val="0"/>
          <w:sz w:val="24"/>
          <w:szCs w:val="24"/>
          <w:lang w:val="en-US" w:eastAsia="zh-CN" w:bidi="ar-SA"/>
        </w:rPr>
        <w:t>其</w:t>
      </w:r>
      <w:r>
        <w:rPr>
          <w:rFonts w:hint="eastAsia" w:ascii="宋体" w:hAnsi="宋体" w:eastAsia="宋体" w:cs="宋体"/>
          <w:snapToGrid w:val="0"/>
          <w:color w:val="000000"/>
          <w:spacing w:val="-1"/>
          <w:kern w:val="0"/>
          <w:sz w:val="24"/>
          <w:szCs w:val="24"/>
          <w:lang w:val="en-US" w:eastAsia="en-US" w:bidi="ar-SA"/>
        </w:rPr>
        <w:t>资格</w:t>
      </w:r>
      <w:r>
        <w:rPr>
          <w:rFonts w:hint="eastAsia" w:ascii="宋体" w:hAnsi="宋体" w:eastAsia="宋体" w:cs="宋体"/>
          <w:snapToGrid w:val="0"/>
          <w:color w:val="000000"/>
          <w:spacing w:val="-1"/>
          <w:kern w:val="0"/>
          <w:sz w:val="24"/>
          <w:szCs w:val="24"/>
          <w:lang w:val="en-US" w:eastAsia="zh-CN" w:bidi="ar-SA"/>
        </w:rPr>
        <w:t>。</w:t>
      </w:r>
    </w:p>
    <w:p w14:paraId="0A983E13">
      <w:pPr>
        <w:spacing w:before="184" w:line="218" w:lineRule="auto"/>
        <w:ind w:left="4"/>
        <w:rPr>
          <w:rFonts w:ascii="宋体" w:hAnsi="宋体" w:eastAsia="宋体" w:cs="宋体"/>
          <w:sz w:val="24"/>
          <w:szCs w:val="24"/>
        </w:rPr>
      </w:pPr>
      <w:r>
        <w:rPr>
          <w:rFonts w:ascii="宋体" w:hAnsi="宋体" w:eastAsia="宋体" w:cs="宋体"/>
          <w:b/>
          <w:bCs/>
          <w:spacing w:val="-4"/>
          <w:sz w:val="24"/>
          <w:szCs w:val="24"/>
        </w:rPr>
        <w:t>六、公告和报名</w:t>
      </w:r>
    </w:p>
    <w:p w14:paraId="67AC44E0">
      <w:pPr>
        <w:spacing w:before="184" w:line="287" w:lineRule="auto"/>
        <w:ind w:firstLine="500"/>
        <w:rPr>
          <w:rFonts w:ascii="宋体" w:hAnsi="宋体" w:eastAsia="宋体" w:cs="宋体"/>
          <w:sz w:val="24"/>
          <w:szCs w:val="24"/>
        </w:rPr>
      </w:pPr>
      <w:r>
        <w:rPr>
          <w:rFonts w:ascii="宋体" w:hAnsi="宋体" w:eastAsia="宋体" w:cs="宋体"/>
          <w:spacing w:val="-3"/>
          <w:sz w:val="24"/>
          <w:szCs w:val="24"/>
        </w:rPr>
        <w:t>1、报名方式：通过登录济钢集团有限公司阳光购销平台网上报名，</w:t>
      </w:r>
      <w:r>
        <w:rPr>
          <w:rFonts w:ascii="宋体" w:hAnsi="宋体" w:eastAsia="宋体" w:cs="宋体"/>
          <w:spacing w:val="-4"/>
          <w:sz w:val="24"/>
          <w:szCs w:val="24"/>
        </w:rPr>
        <w:t>平台网址：</w:t>
      </w:r>
      <w:r>
        <w:rPr>
          <w:rFonts w:ascii="宋体" w:hAnsi="宋体" w:eastAsia="宋体" w:cs="宋体"/>
          <w:sz w:val="24"/>
          <w:szCs w:val="24"/>
        </w:rPr>
        <w:t xml:space="preserve"> </w:t>
      </w:r>
      <w:r>
        <w:fldChar w:fldCharType="begin"/>
      </w:r>
      <w:r>
        <w:instrText xml:space="preserve"> HYPERLINK "http://bidding.jigang.com.cn" </w:instrText>
      </w:r>
      <w:r>
        <w:fldChar w:fldCharType="separate"/>
      </w:r>
      <w:r>
        <w:rPr>
          <w:rFonts w:ascii="宋体" w:hAnsi="宋体" w:eastAsia="宋体" w:cs="宋体"/>
          <w:sz w:val="24"/>
          <w:szCs w:val="24"/>
        </w:rPr>
        <w:t>http://bidding.jigang.</w:t>
      </w:r>
      <w:r>
        <w:rPr>
          <w:rFonts w:ascii="宋体" w:hAnsi="宋体" w:eastAsia="宋体" w:cs="宋体"/>
          <w:spacing w:val="-1"/>
          <w:sz w:val="24"/>
          <w:szCs w:val="24"/>
        </w:rPr>
        <w:t>com.cn</w:t>
      </w:r>
      <w:r>
        <w:rPr>
          <w:rFonts w:ascii="宋体" w:hAnsi="宋体" w:eastAsia="宋体" w:cs="宋体"/>
          <w:spacing w:val="-1"/>
          <w:sz w:val="24"/>
          <w:szCs w:val="24"/>
        </w:rPr>
        <w:fldChar w:fldCharType="end"/>
      </w:r>
      <w:r>
        <w:rPr>
          <w:rFonts w:ascii="宋体" w:hAnsi="宋体" w:eastAsia="宋体" w:cs="宋体"/>
          <w:spacing w:val="-1"/>
          <w:sz w:val="24"/>
          <w:szCs w:val="24"/>
        </w:rPr>
        <w:t>/；</w:t>
      </w:r>
    </w:p>
    <w:p w14:paraId="20BAC688">
      <w:pPr>
        <w:spacing w:before="191" w:line="218" w:lineRule="auto"/>
        <w:ind w:left="485"/>
        <w:rPr>
          <w:rFonts w:ascii="宋体" w:hAnsi="宋体" w:eastAsia="宋体" w:cs="宋体"/>
          <w:sz w:val="24"/>
          <w:szCs w:val="24"/>
        </w:rPr>
      </w:pPr>
      <w:r>
        <w:rPr>
          <w:rFonts w:ascii="宋体" w:hAnsi="宋体" w:eastAsia="宋体" w:cs="宋体"/>
          <w:spacing w:val="-7"/>
          <w:sz w:val="24"/>
          <w:szCs w:val="24"/>
        </w:rPr>
        <w:t>2、公告和报名时间：</w:t>
      </w:r>
      <w:r>
        <w:rPr>
          <w:rFonts w:ascii="宋体" w:hAnsi="宋体" w:eastAsia="宋体" w:cs="宋体"/>
          <w:color w:val="FF0000"/>
          <w:spacing w:val="-7"/>
          <w:sz w:val="24"/>
          <w:szCs w:val="24"/>
        </w:rPr>
        <w:t>202</w:t>
      </w:r>
      <w:r>
        <w:rPr>
          <w:rFonts w:hint="eastAsia" w:ascii="宋体" w:hAnsi="宋体" w:eastAsia="宋体" w:cs="宋体"/>
          <w:color w:val="FF0000"/>
          <w:spacing w:val="-7"/>
          <w:sz w:val="24"/>
          <w:szCs w:val="24"/>
          <w:lang w:val="en-US" w:eastAsia="zh-CN"/>
        </w:rPr>
        <w:t>5</w:t>
      </w:r>
      <w:r>
        <w:rPr>
          <w:rFonts w:ascii="宋体" w:hAnsi="宋体" w:eastAsia="宋体" w:cs="宋体"/>
          <w:color w:val="FF0000"/>
          <w:spacing w:val="-7"/>
          <w:sz w:val="24"/>
          <w:szCs w:val="24"/>
        </w:rPr>
        <w:t>年</w:t>
      </w:r>
      <w:r>
        <w:rPr>
          <w:rFonts w:hint="eastAsia" w:ascii="宋体" w:hAnsi="宋体" w:eastAsia="宋体" w:cs="宋体"/>
          <w:color w:val="FF0000"/>
          <w:spacing w:val="-7"/>
          <w:sz w:val="24"/>
          <w:szCs w:val="24"/>
          <w:lang w:val="en-US" w:eastAsia="zh-CN"/>
        </w:rPr>
        <w:t>7</w:t>
      </w:r>
      <w:r>
        <w:rPr>
          <w:rFonts w:ascii="宋体" w:hAnsi="宋体" w:eastAsia="宋体" w:cs="宋体"/>
          <w:color w:val="FF0000"/>
          <w:spacing w:val="-7"/>
          <w:sz w:val="24"/>
          <w:szCs w:val="24"/>
        </w:rPr>
        <w:t>月</w:t>
      </w:r>
      <w:r>
        <w:rPr>
          <w:rFonts w:hint="eastAsia" w:ascii="宋体" w:hAnsi="宋体" w:eastAsia="宋体" w:cs="宋体"/>
          <w:color w:val="FF0000"/>
          <w:spacing w:val="-7"/>
          <w:sz w:val="24"/>
          <w:szCs w:val="24"/>
          <w:lang w:val="en-US" w:eastAsia="zh-CN"/>
        </w:rPr>
        <w:t>8</w:t>
      </w:r>
      <w:r>
        <w:rPr>
          <w:rFonts w:ascii="宋体" w:hAnsi="宋体" w:eastAsia="宋体" w:cs="宋体"/>
          <w:color w:val="FF0000"/>
          <w:spacing w:val="-7"/>
          <w:sz w:val="24"/>
          <w:szCs w:val="24"/>
        </w:rPr>
        <w:t>日～202</w:t>
      </w:r>
      <w:r>
        <w:rPr>
          <w:rFonts w:hint="eastAsia" w:ascii="宋体" w:hAnsi="宋体" w:eastAsia="宋体" w:cs="宋体"/>
          <w:color w:val="FF0000"/>
          <w:spacing w:val="-7"/>
          <w:sz w:val="24"/>
          <w:szCs w:val="24"/>
          <w:lang w:val="en-US" w:eastAsia="zh-CN"/>
        </w:rPr>
        <w:t>5</w:t>
      </w:r>
      <w:r>
        <w:rPr>
          <w:rFonts w:ascii="宋体" w:hAnsi="宋体" w:eastAsia="宋体" w:cs="宋体"/>
          <w:color w:val="FF0000"/>
          <w:spacing w:val="-7"/>
          <w:sz w:val="24"/>
          <w:szCs w:val="24"/>
        </w:rPr>
        <w:t>年</w:t>
      </w:r>
      <w:r>
        <w:rPr>
          <w:rFonts w:hint="eastAsia" w:ascii="宋体" w:hAnsi="宋体" w:eastAsia="宋体" w:cs="宋体"/>
          <w:color w:val="FF0000"/>
          <w:spacing w:val="-7"/>
          <w:sz w:val="24"/>
          <w:szCs w:val="24"/>
          <w:lang w:val="en-US" w:eastAsia="zh-CN"/>
        </w:rPr>
        <w:t>7</w:t>
      </w:r>
      <w:r>
        <w:rPr>
          <w:rFonts w:ascii="宋体" w:hAnsi="宋体" w:eastAsia="宋体" w:cs="宋体"/>
          <w:color w:val="FF0000"/>
          <w:spacing w:val="-7"/>
          <w:sz w:val="24"/>
          <w:szCs w:val="24"/>
        </w:rPr>
        <w:t>月</w:t>
      </w:r>
      <w:r>
        <w:rPr>
          <w:rFonts w:hint="eastAsia" w:ascii="宋体" w:hAnsi="宋体" w:eastAsia="宋体" w:cs="宋体"/>
          <w:color w:val="FF0000"/>
          <w:spacing w:val="-7"/>
          <w:sz w:val="24"/>
          <w:szCs w:val="24"/>
          <w:lang w:val="en-US" w:eastAsia="zh-CN"/>
        </w:rPr>
        <w:t>9</w:t>
      </w:r>
      <w:r>
        <w:rPr>
          <w:rFonts w:ascii="宋体" w:hAnsi="宋体" w:eastAsia="宋体" w:cs="宋体"/>
          <w:color w:val="FF0000"/>
          <w:spacing w:val="-7"/>
          <w:sz w:val="24"/>
          <w:szCs w:val="24"/>
        </w:rPr>
        <w:t>日</w:t>
      </w:r>
      <w:r>
        <w:rPr>
          <w:rFonts w:ascii="宋体" w:hAnsi="宋体" w:eastAsia="宋体" w:cs="宋体"/>
          <w:spacing w:val="-8"/>
          <w:sz w:val="24"/>
          <w:szCs w:val="24"/>
        </w:rPr>
        <w:t>（北京时间）。</w:t>
      </w:r>
    </w:p>
    <w:p w14:paraId="3A3EF32D">
      <w:pPr>
        <w:spacing w:before="184" w:line="220" w:lineRule="auto"/>
        <w:ind w:left="1"/>
        <w:rPr>
          <w:rFonts w:ascii="宋体" w:hAnsi="宋体" w:eastAsia="宋体" w:cs="宋体"/>
          <w:sz w:val="24"/>
          <w:szCs w:val="24"/>
        </w:rPr>
      </w:pPr>
      <w:r>
        <w:rPr>
          <w:rFonts w:ascii="宋体" w:hAnsi="宋体" w:eastAsia="宋体" w:cs="宋体"/>
          <w:b/>
          <w:bCs/>
          <w:spacing w:val="-3"/>
          <w:sz w:val="24"/>
          <w:szCs w:val="24"/>
        </w:rPr>
        <w:t>七、谈判时间和方式</w:t>
      </w:r>
    </w:p>
    <w:p w14:paraId="082FDF6B">
      <w:pPr>
        <w:spacing w:before="183" w:line="219" w:lineRule="auto"/>
        <w:ind w:left="500"/>
        <w:rPr>
          <w:rFonts w:ascii="宋体" w:hAnsi="宋体" w:eastAsia="宋体" w:cs="宋体"/>
          <w:sz w:val="24"/>
          <w:szCs w:val="24"/>
        </w:rPr>
      </w:pPr>
      <w:r>
        <w:rPr>
          <w:rFonts w:ascii="宋体" w:hAnsi="宋体" w:eastAsia="宋体" w:cs="宋体"/>
          <w:spacing w:val="-9"/>
          <w:sz w:val="24"/>
          <w:szCs w:val="24"/>
        </w:rPr>
        <w:t>1、谈判时间：</w:t>
      </w:r>
      <w:r>
        <w:rPr>
          <w:rFonts w:ascii="宋体" w:hAnsi="宋体" w:eastAsia="宋体" w:cs="宋体"/>
          <w:color w:val="FF0000"/>
          <w:spacing w:val="-9"/>
          <w:sz w:val="24"/>
          <w:szCs w:val="24"/>
        </w:rPr>
        <w:t>202</w:t>
      </w:r>
      <w:r>
        <w:rPr>
          <w:rFonts w:hint="eastAsia" w:ascii="宋体" w:hAnsi="宋体" w:eastAsia="宋体" w:cs="宋体"/>
          <w:color w:val="FF0000"/>
          <w:spacing w:val="-9"/>
          <w:sz w:val="24"/>
          <w:szCs w:val="24"/>
          <w:lang w:val="en-US" w:eastAsia="zh-CN"/>
        </w:rPr>
        <w:t>5</w:t>
      </w:r>
      <w:r>
        <w:rPr>
          <w:rFonts w:ascii="宋体" w:hAnsi="宋体" w:eastAsia="宋体" w:cs="宋体"/>
          <w:color w:val="FF0000"/>
          <w:spacing w:val="-9"/>
          <w:sz w:val="24"/>
          <w:szCs w:val="24"/>
        </w:rPr>
        <w:t>年</w:t>
      </w:r>
      <w:r>
        <w:rPr>
          <w:rFonts w:hint="eastAsia" w:ascii="宋体" w:hAnsi="宋体" w:eastAsia="宋体" w:cs="宋体"/>
          <w:color w:val="FF0000"/>
          <w:spacing w:val="-33"/>
          <w:sz w:val="24"/>
          <w:szCs w:val="24"/>
          <w:lang w:val="en-US" w:eastAsia="zh-CN"/>
        </w:rPr>
        <w:t>7</w:t>
      </w:r>
      <w:r>
        <w:rPr>
          <w:rFonts w:ascii="宋体" w:hAnsi="宋体" w:eastAsia="宋体" w:cs="宋体"/>
          <w:color w:val="FF0000"/>
          <w:spacing w:val="-9"/>
          <w:sz w:val="24"/>
          <w:szCs w:val="24"/>
        </w:rPr>
        <w:t>月</w:t>
      </w:r>
      <w:r>
        <w:rPr>
          <w:rFonts w:hint="eastAsia" w:ascii="宋体" w:hAnsi="宋体" w:eastAsia="宋体" w:cs="宋体"/>
          <w:color w:val="FF0000"/>
          <w:spacing w:val="-9"/>
          <w:sz w:val="24"/>
          <w:szCs w:val="24"/>
          <w:lang w:val="en-US" w:eastAsia="zh-CN"/>
        </w:rPr>
        <w:t>10</w:t>
      </w:r>
      <w:r>
        <w:rPr>
          <w:rFonts w:ascii="宋体" w:hAnsi="宋体" w:eastAsia="宋体" w:cs="宋体"/>
          <w:color w:val="FF0000"/>
          <w:spacing w:val="-9"/>
          <w:sz w:val="24"/>
          <w:szCs w:val="24"/>
        </w:rPr>
        <w:t>日</w:t>
      </w:r>
      <w:r>
        <w:rPr>
          <w:rFonts w:hint="eastAsia" w:ascii="宋体" w:hAnsi="宋体" w:eastAsia="宋体" w:cs="宋体"/>
          <w:color w:val="FF0000"/>
          <w:spacing w:val="-9"/>
          <w:sz w:val="24"/>
          <w:szCs w:val="24"/>
          <w:lang w:val="en-US" w:eastAsia="zh-CN"/>
        </w:rPr>
        <w:t>上午9</w:t>
      </w:r>
      <w:r>
        <w:rPr>
          <w:rFonts w:ascii="宋体" w:hAnsi="宋体" w:eastAsia="宋体" w:cs="宋体"/>
          <w:color w:val="FF0000"/>
          <w:spacing w:val="-9"/>
          <w:sz w:val="24"/>
          <w:szCs w:val="24"/>
        </w:rPr>
        <w:t>点</w:t>
      </w:r>
      <w:r>
        <w:rPr>
          <w:rFonts w:ascii="宋体" w:hAnsi="宋体" w:eastAsia="宋体" w:cs="宋体"/>
          <w:spacing w:val="-9"/>
          <w:sz w:val="24"/>
          <w:szCs w:val="24"/>
        </w:rPr>
        <w:t>；</w:t>
      </w:r>
    </w:p>
    <w:p w14:paraId="29D24250">
      <w:pPr>
        <w:spacing w:before="183" w:line="290" w:lineRule="auto"/>
        <w:ind w:left="6" w:right="2357" w:firstLine="479"/>
        <w:rPr>
          <w:rFonts w:ascii="宋体" w:hAnsi="宋体" w:eastAsia="宋体" w:cs="宋体"/>
          <w:sz w:val="24"/>
          <w:szCs w:val="24"/>
        </w:rPr>
      </w:pPr>
      <w:r>
        <w:rPr>
          <w:rFonts w:ascii="宋体" w:hAnsi="宋体" w:eastAsia="宋体" w:cs="宋体"/>
          <w:spacing w:val="-2"/>
          <w:sz w:val="24"/>
          <w:szCs w:val="24"/>
        </w:rPr>
        <w:t>2、谈判方式：网上谈判，谈判时无需供应商到</w:t>
      </w:r>
      <w:r>
        <w:rPr>
          <w:rFonts w:ascii="宋体" w:hAnsi="宋体" w:eastAsia="宋体" w:cs="宋体"/>
          <w:spacing w:val="-3"/>
          <w:sz w:val="24"/>
          <w:szCs w:val="24"/>
        </w:rPr>
        <w:t>达现场。</w:t>
      </w:r>
      <w:r>
        <w:rPr>
          <w:rFonts w:ascii="宋体" w:hAnsi="宋体" w:eastAsia="宋体" w:cs="宋体"/>
          <w:sz w:val="24"/>
          <w:szCs w:val="24"/>
        </w:rPr>
        <w:t xml:space="preserve"> </w:t>
      </w:r>
      <w:r>
        <w:rPr>
          <w:rFonts w:ascii="宋体" w:hAnsi="宋体" w:eastAsia="宋体" w:cs="宋体"/>
          <w:b/>
          <w:bCs/>
          <w:spacing w:val="-2"/>
          <w:sz w:val="24"/>
          <w:szCs w:val="24"/>
        </w:rPr>
        <w:t>八、谈判保证金：</w:t>
      </w:r>
      <w:r>
        <w:rPr>
          <w:rFonts w:ascii="宋体" w:hAnsi="宋体" w:eastAsia="宋体" w:cs="宋体"/>
          <w:spacing w:val="-2"/>
          <w:sz w:val="24"/>
          <w:szCs w:val="24"/>
        </w:rPr>
        <w:t>无</w:t>
      </w:r>
    </w:p>
    <w:p w14:paraId="67DC3F1B">
      <w:pPr>
        <w:spacing w:before="182" w:line="219" w:lineRule="auto"/>
        <w:ind w:left="8"/>
        <w:rPr>
          <w:rFonts w:ascii="宋体" w:hAnsi="宋体" w:eastAsia="宋体" w:cs="宋体"/>
          <w:sz w:val="24"/>
          <w:szCs w:val="24"/>
        </w:rPr>
      </w:pPr>
      <w:r>
        <w:rPr>
          <w:rFonts w:ascii="宋体" w:hAnsi="宋体" w:eastAsia="宋体" w:cs="宋体"/>
          <w:b/>
          <w:bCs/>
          <w:spacing w:val="-4"/>
          <w:sz w:val="24"/>
          <w:szCs w:val="24"/>
        </w:rPr>
        <w:t>九、谈判文件的获取方式</w:t>
      </w:r>
    </w:p>
    <w:p w14:paraId="27556E6B">
      <w:pPr>
        <w:spacing w:before="183" w:line="313" w:lineRule="auto"/>
        <w:ind w:left="3" w:right="59" w:firstLine="496"/>
        <w:jc w:val="both"/>
        <w:rPr>
          <w:rFonts w:ascii="宋体" w:hAnsi="宋体" w:eastAsia="宋体" w:cs="宋体"/>
          <w:sz w:val="24"/>
          <w:szCs w:val="24"/>
        </w:rPr>
      </w:pPr>
      <w:r>
        <w:rPr>
          <w:rFonts w:ascii="宋体" w:hAnsi="宋体" w:eastAsia="宋体" w:cs="宋体"/>
          <w:spacing w:val="2"/>
          <w:sz w:val="24"/>
          <w:szCs w:val="24"/>
        </w:rPr>
        <w:t xml:space="preserve">1、获取方式：凡有意参加的潜在供应商，在公告期内登陆：济钢集团有限公 </w:t>
      </w:r>
      <w:r>
        <w:rPr>
          <w:rFonts w:ascii="宋体" w:hAnsi="宋体" w:eastAsia="宋体" w:cs="宋体"/>
          <w:spacing w:val="-2"/>
          <w:sz w:val="24"/>
          <w:szCs w:val="24"/>
        </w:rPr>
        <w:t>司阳光购销平台</w:t>
      </w:r>
      <w:r>
        <w:rPr>
          <w:rFonts w:ascii="宋体" w:hAnsi="宋体" w:eastAsia="宋体" w:cs="宋体"/>
          <w:spacing w:val="-51"/>
          <w:sz w:val="24"/>
          <w:szCs w:val="24"/>
        </w:rPr>
        <w:t xml:space="preserve"> </w:t>
      </w:r>
      <w:r>
        <w:fldChar w:fldCharType="begin"/>
      </w:r>
      <w:r>
        <w:instrText xml:space="preserve"> HYPERLINK "http://bidding.jigang.com.cn" </w:instrText>
      </w:r>
      <w:r>
        <w:fldChar w:fldCharType="separate"/>
      </w:r>
      <w:r>
        <w:rPr>
          <w:rFonts w:ascii="宋体" w:hAnsi="宋体" w:eastAsia="宋体" w:cs="宋体"/>
          <w:spacing w:val="-2"/>
          <w:sz w:val="24"/>
          <w:szCs w:val="24"/>
        </w:rPr>
        <w:t>http://bidding.jigang.com.cn</w:t>
      </w:r>
      <w:r>
        <w:rPr>
          <w:rFonts w:ascii="宋体" w:hAnsi="宋体" w:eastAsia="宋体" w:cs="宋体"/>
          <w:spacing w:val="-2"/>
          <w:sz w:val="24"/>
          <w:szCs w:val="24"/>
        </w:rPr>
        <w:fldChar w:fldCharType="end"/>
      </w:r>
      <w:r>
        <w:rPr>
          <w:rFonts w:ascii="宋体" w:hAnsi="宋体" w:eastAsia="宋体" w:cs="宋体"/>
          <w:spacing w:val="-2"/>
          <w:sz w:val="24"/>
          <w:szCs w:val="24"/>
        </w:rPr>
        <w:t>/ ，注册用户成功后，须修改初始</w:t>
      </w:r>
      <w:r>
        <w:rPr>
          <w:rFonts w:ascii="宋体" w:hAnsi="宋体" w:eastAsia="宋体" w:cs="宋体"/>
          <w:sz w:val="24"/>
          <w:szCs w:val="24"/>
        </w:rPr>
        <w:t xml:space="preserve"> </w:t>
      </w:r>
      <w:r>
        <w:rPr>
          <w:rFonts w:ascii="宋体" w:hAnsi="宋体" w:eastAsia="宋体" w:cs="宋体"/>
          <w:spacing w:val="-1"/>
          <w:sz w:val="24"/>
          <w:szCs w:val="24"/>
        </w:rPr>
        <w:t>密码，重新登录后报名，报名成功后即可下载谈判文件；</w:t>
      </w:r>
    </w:p>
    <w:p w14:paraId="6C9A6B0B">
      <w:pPr>
        <w:spacing w:before="183" w:line="218" w:lineRule="auto"/>
        <w:ind w:left="485"/>
        <w:rPr>
          <w:rFonts w:ascii="宋体" w:hAnsi="宋体" w:eastAsia="宋体" w:cs="宋体"/>
          <w:sz w:val="24"/>
          <w:szCs w:val="24"/>
        </w:rPr>
      </w:pPr>
      <w:r>
        <w:rPr>
          <w:rFonts w:ascii="宋体" w:hAnsi="宋体" w:eastAsia="宋体" w:cs="宋体"/>
          <w:spacing w:val="-2"/>
          <w:sz w:val="24"/>
          <w:szCs w:val="24"/>
        </w:rPr>
        <w:t>2、售价：免费。</w:t>
      </w:r>
    </w:p>
    <w:p w14:paraId="503336C9">
      <w:pPr>
        <w:spacing w:before="185" w:line="219" w:lineRule="auto"/>
        <w:ind w:left="3"/>
        <w:rPr>
          <w:rFonts w:ascii="宋体" w:hAnsi="宋体" w:eastAsia="宋体" w:cs="宋体"/>
          <w:sz w:val="24"/>
          <w:szCs w:val="24"/>
        </w:rPr>
      </w:pPr>
      <w:r>
        <w:rPr>
          <w:rFonts w:ascii="宋体" w:hAnsi="宋体" w:eastAsia="宋体" w:cs="宋体"/>
          <w:b/>
          <w:bCs/>
          <w:spacing w:val="-4"/>
          <w:sz w:val="24"/>
          <w:szCs w:val="24"/>
        </w:rPr>
        <w:t>十、资格审查</w:t>
      </w:r>
    </w:p>
    <w:p w14:paraId="79295C4E">
      <w:pPr>
        <w:spacing w:before="183" w:line="219" w:lineRule="auto"/>
        <w:ind w:left="493"/>
        <w:rPr>
          <w:rFonts w:ascii="宋体" w:hAnsi="宋体" w:eastAsia="宋体" w:cs="宋体"/>
          <w:sz w:val="24"/>
          <w:szCs w:val="24"/>
        </w:rPr>
      </w:pPr>
      <w:r>
        <w:rPr>
          <w:rFonts w:ascii="宋体" w:hAnsi="宋体" w:eastAsia="宋体" w:cs="宋体"/>
          <w:spacing w:val="-2"/>
          <w:sz w:val="24"/>
          <w:szCs w:val="24"/>
        </w:rPr>
        <w:t>资格后审，不接受联合体。</w:t>
      </w:r>
    </w:p>
    <w:p w14:paraId="1FEAF788">
      <w:pPr>
        <w:spacing w:before="100" w:line="219" w:lineRule="auto"/>
        <w:ind w:left="1"/>
        <w:rPr>
          <w:rFonts w:ascii="宋体" w:hAnsi="宋体" w:eastAsia="宋体" w:cs="宋体"/>
          <w:sz w:val="24"/>
          <w:szCs w:val="24"/>
        </w:rPr>
      </w:pPr>
      <w:r>
        <w:rPr>
          <w:rFonts w:hint="eastAsia" w:ascii="宋体" w:hAnsi="宋体" w:eastAsia="宋体" w:cs="宋体"/>
          <w:b/>
          <w:bCs/>
          <w:spacing w:val="-3"/>
          <w:sz w:val="24"/>
          <w:szCs w:val="24"/>
          <w:lang w:val="en-US" w:eastAsia="zh-CN"/>
        </w:rPr>
        <w:t>十</w:t>
      </w:r>
      <w:r>
        <w:rPr>
          <w:rFonts w:ascii="宋体" w:hAnsi="宋体" w:eastAsia="宋体" w:cs="宋体"/>
          <w:b/>
          <w:bCs/>
          <w:spacing w:val="-3"/>
          <w:sz w:val="24"/>
          <w:szCs w:val="24"/>
        </w:rPr>
        <w:t>一、采购人的名称、地址和联系人</w:t>
      </w:r>
    </w:p>
    <w:p w14:paraId="313B1669">
      <w:pPr>
        <w:spacing w:before="183" w:line="219" w:lineRule="auto"/>
        <w:ind w:left="498"/>
        <w:rPr>
          <w:rFonts w:ascii="宋体" w:hAnsi="宋体" w:eastAsia="宋体" w:cs="宋体"/>
          <w:sz w:val="24"/>
          <w:szCs w:val="24"/>
        </w:rPr>
      </w:pPr>
      <w:r>
        <w:rPr>
          <w:rFonts w:ascii="宋体" w:hAnsi="宋体" w:eastAsia="宋体" w:cs="宋体"/>
          <w:spacing w:val="-2"/>
          <w:sz w:val="24"/>
          <w:szCs w:val="24"/>
        </w:rPr>
        <w:t>1、采购人名称：山东济钢环保新材料有限公司</w:t>
      </w:r>
    </w:p>
    <w:p w14:paraId="1F4C5C70">
      <w:pPr>
        <w:spacing w:before="183" w:line="219" w:lineRule="auto"/>
        <w:ind w:left="483"/>
        <w:rPr>
          <w:rFonts w:ascii="宋体" w:hAnsi="宋体" w:eastAsia="宋体" w:cs="宋体"/>
          <w:sz w:val="24"/>
          <w:szCs w:val="24"/>
        </w:rPr>
      </w:pPr>
      <w:r>
        <w:rPr>
          <w:rFonts w:ascii="宋体" w:hAnsi="宋体" w:eastAsia="宋体" w:cs="宋体"/>
          <w:spacing w:val="-1"/>
          <w:sz w:val="24"/>
          <w:szCs w:val="24"/>
        </w:rPr>
        <w:t>2、采购人地址：山东省济南市章丘区官庄街道青野村东</w:t>
      </w:r>
    </w:p>
    <w:p w14:paraId="4EEB21C1">
      <w:pPr>
        <w:spacing w:before="183" w:line="220" w:lineRule="auto"/>
        <w:ind w:left="485"/>
        <w:rPr>
          <w:rFonts w:ascii="宋体" w:hAnsi="宋体" w:eastAsia="宋体" w:cs="宋体"/>
          <w:sz w:val="24"/>
          <w:szCs w:val="24"/>
        </w:rPr>
      </w:pPr>
      <w:r>
        <w:rPr>
          <w:rFonts w:ascii="宋体" w:hAnsi="宋体" w:eastAsia="宋体" w:cs="宋体"/>
          <w:spacing w:val="-1"/>
          <w:sz w:val="24"/>
          <w:szCs w:val="24"/>
        </w:rPr>
        <w:t>3、谈判联系人：史工，联系电话：18615514537；</w:t>
      </w:r>
    </w:p>
    <w:p w14:paraId="5A1CC805">
      <w:pPr>
        <w:spacing w:before="181" w:line="219" w:lineRule="auto"/>
        <w:ind w:left="480"/>
        <w:rPr>
          <w:rFonts w:ascii="宋体" w:hAnsi="宋体" w:eastAsia="宋体" w:cs="宋体"/>
          <w:sz w:val="24"/>
          <w:szCs w:val="24"/>
        </w:rPr>
      </w:pPr>
      <w:r>
        <w:rPr>
          <w:rFonts w:ascii="宋体" w:hAnsi="宋体" w:eastAsia="宋体" w:cs="宋体"/>
          <w:sz w:val="24"/>
          <w:szCs w:val="24"/>
        </w:rPr>
        <w:t>4、技术联系人：陈</w:t>
      </w:r>
      <w:r>
        <w:rPr>
          <w:rFonts w:hint="eastAsia" w:ascii="宋体" w:hAnsi="宋体" w:eastAsia="宋体" w:cs="宋体"/>
          <w:sz w:val="24"/>
          <w:szCs w:val="24"/>
          <w:lang w:val="en-US" w:eastAsia="zh-CN"/>
        </w:rPr>
        <w:t>部长，</w:t>
      </w:r>
      <w:r>
        <w:rPr>
          <w:rFonts w:ascii="宋体" w:hAnsi="宋体" w:eastAsia="宋体" w:cs="宋体"/>
          <w:sz w:val="24"/>
          <w:szCs w:val="24"/>
        </w:rPr>
        <w:t>联系电话：15</w:t>
      </w:r>
      <w:r>
        <w:rPr>
          <w:rFonts w:ascii="宋体" w:hAnsi="宋体" w:eastAsia="宋体" w:cs="宋体"/>
          <w:spacing w:val="-1"/>
          <w:sz w:val="24"/>
          <w:szCs w:val="24"/>
        </w:rPr>
        <w:t>969701681；</w:t>
      </w:r>
    </w:p>
    <w:p w14:paraId="22CA656A">
      <w:pPr>
        <w:spacing w:before="184" w:line="220" w:lineRule="auto"/>
        <w:ind w:left="1"/>
        <w:rPr>
          <w:rFonts w:ascii="宋体" w:hAnsi="宋体" w:eastAsia="宋体" w:cs="宋体"/>
          <w:sz w:val="24"/>
          <w:szCs w:val="24"/>
        </w:rPr>
      </w:pPr>
      <w:r>
        <w:rPr>
          <w:rFonts w:ascii="宋体" w:hAnsi="宋体" w:eastAsia="宋体" w:cs="宋体"/>
          <w:b/>
          <w:bCs/>
          <w:spacing w:val="-3"/>
          <w:sz w:val="24"/>
          <w:szCs w:val="24"/>
        </w:rPr>
        <w:t>十二、安全要求</w:t>
      </w:r>
    </w:p>
    <w:p w14:paraId="472F19D5">
      <w:pPr>
        <w:spacing w:before="181" w:line="290" w:lineRule="auto"/>
        <w:ind w:left="8" w:right="2" w:firstLine="490"/>
        <w:rPr>
          <w:rFonts w:ascii="宋体" w:hAnsi="宋体" w:eastAsia="宋体" w:cs="宋体"/>
          <w:sz w:val="24"/>
          <w:szCs w:val="24"/>
        </w:rPr>
      </w:pPr>
      <w:r>
        <w:rPr>
          <w:rFonts w:ascii="宋体" w:hAnsi="宋体" w:eastAsia="宋体" w:cs="宋体"/>
          <w:spacing w:val="2"/>
          <w:sz w:val="24"/>
          <w:szCs w:val="24"/>
        </w:rPr>
        <w:t>参加谈判的人员在济钢集团有限公司的一切活动，必须遵守济钢集团有限</w:t>
      </w:r>
      <w:r>
        <w:rPr>
          <w:rFonts w:ascii="宋体" w:hAnsi="宋体" w:eastAsia="宋体" w:cs="宋体"/>
          <w:sz w:val="24"/>
          <w:szCs w:val="24"/>
        </w:rPr>
        <w:t xml:space="preserve"> </w:t>
      </w:r>
      <w:r>
        <w:rPr>
          <w:rFonts w:ascii="宋体" w:hAnsi="宋体" w:eastAsia="宋体" w:cs="宋体"/>
          <w:spacing w:val="-1"/>
          <w:sz w:val="24"/>
          <w:szCs w:val="24"/>
        </w:rPr>
        <w:t>公司的安全规定。需要现场踏勘时，必须遵</w:t>
      </w:r>
      <w:r>
        <w:rPr>
          <w:rFonts w:ascii="宋体" w:hAnsi="宋体" w:eastAsia="宋体" w:cs="宋体"/>
          <w:spacing w:val="-2"/>
          <w:sz w:val="24"/>
          <w:szCs w:val="24"/>
        </w:rPr>
        <w:t>守安全管理规定，服从现场人员指挥。</w:t>
      </w:r>
    </w:p>
    <w:p w14:paraId="6A870813">
      <w:pPr>
        <w:spacing w:before="183" w:line="218" w:lineRule="auto"/>
        <w:ind w:left="1"/>
        <w:outlineLvl w:val="0"/>
        <w:rPr>
          <w:rFonts w:ascii="宋体" w:hAnsi="宋体" w:eastAsia="宋体" w:cs="宋体"/>
          <w:sz w:val="24"/>
          <w:szCs w:val="24"/>
        </w:rPr>
      </w:pPr>
      <w:r>
        <w:rPr>
          <w:rFonts w:ascii="宋体" w:hAnsi="宋体" w:eastAsia="宋体" w:cs="宋体"/>
          <w:b/>
          <w:bCs/>
          <w:spacing w:val="-3"/>
          <w:sz w:val="24"/>
          <w:szCs w:val="24"/>
        </w:rPr>
        <w:t>十三、公告中的内容和要求以最终的谈判文件为准。</w:t>
      </w:r>
    </w:p>
    <w:p w14:paraId="0E61CF81">
      <w:pPr>
        <w:pStyle w:val="7"/>
        <w:spacing w:line="285" w:lineRule="auto"/>
      </w:pPr>
    </w:p>
    <w:p w14:paraId="5E8F7697">
      <w:pPr>
        <w:pStyle w:val="7"/>
        <w:spacing w:line="285" w:lineRule="auto"/>
      </w:pPr>
    </w:p>
    <w:p w14:paraId="567DC91E">
      <w:pPr>
        <w:spacing w:before="78" w:line="347" w:lineRule="auto"/>
        <w:ind w:left="5043" w:right="1178" w:hanging="701"/>
        <w:rPr>
          <w:rFonts w:ascii="宋体" w:hAnsi="宋体" w:eastAsia="宋体" w:cs="宋体"/>
          <w:sz w:val="24"/>
          <w:szCs w:val="24"/>
          <w:highlight w:val="yellow"/>
        </w:rPr>
      </w:pPr>
      <w:r>
        <w:rPr>
          <w:rFonts w:ascii="宋体" w:hAnsi="宋体" w:eastAsia="宋体" w:cs="宋体"/>
          <w:spacing w:val="-3"/>
          <w:sz w:val="24"/>
          <w:szCs w:val="24"/>
        </w:rPr>
        <w:t>山东济钢环保新材料有限公司</w:t>
      </w:r>
      <w:r>
        <w:rPr>
          <w:rFonts w:ascii="宋体" w:hAnsi="宋体" w:eastAsia="宋体" w:cs="宋体"/>
          <w:spacing w:val="7"/>
          <w:sz w:val="24"/>
          <w:szCs w:val="24"/>
        </w:rPr>
        <w:t xml:space="preserve"> </w:t>
      </w:r>
      <w:r>
        <w:rPr>
          <w:rFonts w:ascii="宋体" w:hAnsi="宋体" w:eastAsia="宋体" w:cs="宋体"/>
          <w:spacing w:val="-9"/>
          <w:sz w:val="24"/>
          <w:szCs w:val="24"/>
          <w:highlight w:val="yellow"/>
        </w:rPr>
        <w:t>202</w:t>
      </w:r>
      <w:r>
        <w:rPr>
          <w:rFonts w:hint="eastAsia" w:ascii="宋体" w:hAnsi="宋体" w:eastAsia="宋体" w:cs="宋体"/>
          <w:spacing w:val="-9"/>
          <w:sz w:val="24"/>
          <w:szCs w:val="24"/>
          <w:highlight w:val="yellow"/>
          <w:lang w:val="en-US" w:eastAsia="zh-CN"/>
        </w:rPr>
        <w:t xml:space="preserve">5 </w:t>
      </w:r>
      <w:r>
        <w:rPr>
          <w:rFonts w:ascii="宋体" w:hAnsi="宋体" w:eastAsia="宋体" w:cs="宋体"/>
          <w:spacing w:val="-47"/>
          <w:sz w:val="24"/>
          <w:szCs w:val="24"/>
          <w:highlight w:val="yellow"/>
        </w:rPr>
        <w:t xml:space="preserve"> </w:t>
      </w:r>
      <w:r>
        <w:rPr>
          <w:rFonts w:ascii="宋体" w:hAnsi="宋体" w:eastAsia="宋体" w:cs="宋体"/>
          <w:spacing w:val="-9"/>
          <w:sz w:val="24"/>
          <w:szCs w:val="24"/>
          <w:highlight w:val="yellow"/>
        </w:rPr>
        <w:t>年</w:t>
      </w:r>
      <w:r>
        <w:rPr>
          <w:rFonts w:ascii="宋体" w:hAnsi="宋体" w:eastAsia="宋体" w:cs="宋体"/>
          <w:spacing w:val="-32"/>
          <w:sz w:val="24"/>
          <w:szCs w:val="24"/>
          <w:highlight w:val="yellow"/>
        </w:rPr>
        <w:t xml:space="preserve"> </w:t>
      </w:r>
      <w:r>
        <w:rPr>
          <w:rFonts w:hint="eastAsia" w:ascii="宋体" w:hAnsi="宋体" w:eastAsia="宋体" w:cs="宋体"/>
          <w:spacing w:val="-9"/>
          <w:sz w:val="24"/>
          <w:szCs w:val="24"/>
          <w:highlight w:val="yellow"/>
          <w:lang w:val="en-US" w:eastAsia="zh-CN"/>
        </w:rPr>
        <w:t>7</w:t>
      </w:r>
      <w:r>
        <w:rPr>
          <w:rFonts w:ascii="宋体" w:hAnsi="宋体" w:eastAsia="宋体" w:cs="宋体"/>
          <w:spacing w:val="-9"/>
          <w:sz w:val="24"/>
          <w:szCs w:val="24"/>
          <w:highlight w:val="yellow"/>
        </w:rPr>
        <w:t>月</w:t>
      </w:r>
      <w:r>
        <w:rPr>
          <w:rFonts w:ascii="宋体" w:hAnsi="宋体" w:eastAsia="宋体" w:cs="宋体"/>
          <w:spacing w:val="-49"/>
          <w:sz w:val="24"/>
          <w:szCs w:val="24"/>
          <w:highlight w:val="yellow"/>
        </w:rPr>
        <w:t xml:space="preserve"> </w:t>
      </w:r>
      <w:r>
        <w:rPr>
          <w:rFonts w:hint="eastAsia" w:ascii="宋体" w:hAnsi="宋体" w:eastAsia="宋体" w:cs="宋体"/>
          <w:spacing w:val="-9"/>
          <w:sz w:val="24"/>
          <w:szCs w:val="24"/>
          <w:highlight w:val="yellow"/>
          <w:lang w:val="en-US" w:eastAsia="zh-CN"/>
        </w:rPr>
        <w:t>8</w:t>
      </w:r>
      <w:r>
        <w:rPr>
          <w:rFonts w:ascii="宋体" w:hAnsi="宋体" w:eastAsia="宋体" w:cs="宋体"/>
          <w:spacing w:val="-9"/>
          <w:sz w:val="24"/>
          <w:szCs w:val="24"/>
          <w:highlight w:val="yellow"/>
        </w:rPr>
        <w:t>日</w:t>
      </w:r>
    </w:p>
    <w:p w14:paraId="3FCEC1FD">
      <w:pPr>
        <w:spacing w:line="347" w:lineRule="auto"/>
        <w:rPr>
          <w:rFonts w:ascii="宋体" w:hAnsi="宋体" w:eastAsia="宋体" w:cs="宋体"/>
          <w:sz w:val="24"/>
          <w:szCs w:val="24"/>
          <w:highlight w:val="yellow"/>
        </w:rPr>
        <w:sectPr>
          <w:footerReference r:id="rId6" w:type="default"/>
          <w:pgSz w:w="11906" w:h="16839"/>
          <w:pgMar w:top="1431" w:right="1643" w:bottom="1156" w:left="1652" w:header="0" w:footer="994" w:gutter="0"/>
          <w:cols w:space="720" w:num="1"/>
        </w:sectPr>
      </w:pPr>
    </w:p>
    <w:p w14:paraId="2EC03EB2">
      <w:pPr>
        <w:spacing w:before="273" w:line="224" w:lineRule="auto"/>
        <w:ind w:left="3458"/>
        <w:rPr>
          <w:rFonts w:ascii="宋体" w:hAnsi="宋体" w:eastAsia="宋体" w:cs="宋体"/>
          <w:sz w:val="35"/>
          <w:szCs w:val="35"/>
        </w:rPr>
      </w:pPr>
      <w:r>
        <w:rPr>
          <w:rFonts w:ascii="宋体" w:hAnsi="宋体" w:eastAsia="宋体" w:cs="宋体"/>
          <w:b/>
          <w:bCs/>
          <w:spacing w:val="5"/>
          <w:sz w:val="35"/>
          <w:szCs w:val="35"/>
        </w:rPr>
        <w:t>第二章</w:t>
      </w:r>
      <w:r>
        <w:rPr>
          <w:rFonts w:ascii="宋体" w:hAnsi="宋体" w:eastAsia="宋体" w:cs="宋体"/>
          <w:spacing w:val="5"/>
          <w:sz w:val="35"/>
          <w:szCs w:val="35"/>
        </w:rPr>
        <w:t xml:space="preserve">  </w:t>
      </w:r>
      <w:r>
        <w:rPr>
          <w:rFonts w:ascii="宋体" w:hAnsi="宋体" w:eastAsia="宋体" w:cs="宋体"/>
          <w:b/>
          <w:bCs/>
          <w:spacing w:val="5"/>
          <w:sz w:val="35"/>
          <w:szCs w:val="35"/>
        </w:rPr>
        <w:t>谈判须知</w:t>
      </w:r>
    </w:p>
    <w:p w14:paraId="3A272565">
      <w:pPr>
        <w:spacing w:before="222" w:line="224" w:lineRule="auto"/>
        <w:ind w:left="3800"/>
        <w:outlineLvl w:val="1"/>
        <w:rPr>
          <w:rFonts w:ascii="宋体" w:hAnsi="宋体" w:eastAsia="宋体" w:cs="宋体"/>
          <w:sz w:val="31"/>
          <w:szCs w:val="31"/>
        </w:rPr>
      </w:pPr>
      <w:r>
        <w:rPr>
          <w:rFonts w:ascii="宋体" w:hAnsi="宋体" w:eastAsia="宋体" w:cs="宋体"/>
          <w:spacing w:val="5"/>
          <w:sz w:val="30"/>
          <w:szCs w:val="30"/>
        </w:rPr>
        <w:t>谈判</w:t>
      </w:r>
      <w:r>
        <w:rPr>
          <w:rFonts w:ascii="宋体" w:hAnsi="宋体" w:eastAsia="宋体" w:cs="宋体"/>
          <w:spacing w:val="5"/>
          <w:sz w:val="31"/>
          <w:szCs w:val="31"/>
        </w:rPr>
        <w:t>须知前附表</w:t>
      </w:r>
    </w:p>
    <w:p w14:paraId="626BC36E">
      <w:pPr>
        <w:spacing w:line="173" w:lineRule="exact"/>
      </w:pPr>
    </w:p>
    <w:tbl>
      <w:tblPr>
        <w:tblStyle w:val="13"/>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2"/>
      </w:tblGrid>
      <w:tr w14:paraId="02A01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62" w:type="dxa"/>
            <w:vAlign w:val="top"/>
          </w:tcPr>
          <w:p w14:paraId="0B5102E1">
            <w:pPr>
              <w:pStyle w:val="14"/>
              <w:spacing w:before="248" w:line="219" w:lineRule="auto"/>
              <w:ind w:left="128"/>
            </w:pPr>
            <w:r>
              <w:rPr>
                <w:b/>
                <w:bCs/>
                <w:spacing w:val="-6"/>
              </w:rPr>
              <w:t>条款号</w:t>
            </w:r>
          </w:p>
        </w:tc>
        <w:tc>
          <w:tcPr>
            <w:tcW w:w="1659" w:type="dxa"/>
            <w:vAlign w:val="top"/>
          </w:tcPr>
          <w:p w14:paraId="0327F880">
            <w:pPr>
              <w:pStyle w:val="14"/>
              <w:spacing w:before="248" w:line="219" w:lineRule="auto"/>
              <w:ind w:left="354"/>
            </w:pPr>
            <w:r>
              <w:rPr>
                <w:b/>
                <w:bCs/>
                <w:spacing w:val="-5"/>
              </w:rPr>
              <w:t>条款名称</w:t>
            </w:r>
          </w:p>
        </w:tc>
        <w:tc>
          <w:tcPr>
            <w:tcW w:w="7152" w:type="dxa"/>
            <w:vAlign w:val="top"/>
          </w:tcPr>
          <w:p w14:paraId="1EAF06D5">
            <w:pPr>
              <w:pStyle w:val="14"/>
              <w:spacing w:before="229" w:line="219" w:lineRule="auto"/>
              <w:ind w:left="3102"/>
            </w:pPr>
            <w:r>
              <w:rPr>
                <w:b/>
                <w:bCs/>
                <w:spacing w:val="-5"/>
              </w:rPr>
              <w:t>编列内容</w:t>
            </w:r>
          </w:p>
        </w:tc>
      </w:tr>
      <w:tr w14:paraId="00E39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vAlign w:val="top"/>
          </w:tcPr>
          <w:p w14:paraId="39AF7E4D">
            <w:pPr>
              <w:pStyle w:val="14"/>
              <w:spacing w:before="89" w:line="184" w:lineRule="auto"/>
              <w:ind w:left="206"/>
            </w:pPr>
            <w:r>
              <w:rPr>
                <w:spacing w:val="-6"/>
              </w:rPr>
              <w:t>1.1.1</w:t>
            </w:r>
          </w:p>
        </w:tc>
        <w:tc>
          <w:tcPr>
            <w:tcW w:w="1659" w:type="dxa"/>
            <w:vAlign w:val="top"/>
          </w:tcPr>
          <w:p w14:paraId="5BDDAED9">
            <w:pPr>
              <w:pStyle w:val="14"/>
              <w:spacing w:before="52" w:line="217" w:lineRule="auto"/>
              <w:ind w:left="474"/>
            </w:pPr>
            <w:r>
              <w:rPr>
                <w:spacing w:val="-3"/>
              </w:rPr>
              <w:t>采购人</w:t>
            </w:r>
          </w:p>
        </w:tc>
        <w:tc>
          <w:tcPr>
            <w:tcW w:w="7152" w:type="dxa"/>
            <w:vAlign w:val="top"/>
          </w:tcPr>
          <w:p w14:paraId="19F6EEF6">
            <w:pPr>
              <w:pStyle w:val="14"/>
              <w:spacing w:before="67" w:line="206" w:lineRule="auto"/>
              <w:ind w:left="136"/>
            </w:pPr>
            <w:r>
              <w:rPr>
                <w:spacing w:val="-3"/>
              </w:rPr>
              <w:t>山东济钢环保新材料有限公司</w:t>
            </w:r>
          </w:p>
        </w:tc>
      </w:tr>
      <w:tr w14:paraId="405DB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vAlign w:val="top"/>
          </w:tcPr>
          <w:p w14:paraId="072EB49A">
            <w:pPr>
              <w:pStyle w:val="14"/>
              <w:spacing w:before="87" w:line="184" w:lineRule="auto"/>
              <w:ind w:left="206"/>
            </w:pPr>
            <w:r>
              <w:rPr>
                <w:spacing w:val="-6"/>
              </w:rPr>
              <w:t>1.1.2</w:t>
            </w:r>
          </w:p>
        </w:tc>
        <w:tc>
          <w:tcPr>
            <w:tcW w:w="1659" w:type="dxa"/>
            <w:vAlign w:val="top"/>
          </w:tcPr>
          <w:p w14:paraId="399D93A9">
            <w:pPr>
              <w:pStyle w:val="14"/>
              <w:spacing w:before="50" w:line="219" w:lineRule="auto"/>
              <w:ind w:left="359"/>
            </w:pPr>
            <w:r>
              <w:rPr>
                <w:spacing w:val="-4"/>
              </w:rPr>
              <w:t>项目名称</w:t>
            </w:r>
          </w:p>
        </w:tc>
        <w:tc>
          <w:tcPr>
            <w:tcW w:w="7152" w:type="dxa"/>
            <w:vAlign w:val="top"/>
          </w:tcPr>
          <w:p w14:paraId="5E03CFC8">
            <w:pPr>
              <w:pStyle w:val="14"/>
              <w:spacing w:before="67" w:line="206" w:lineRule="auto"/>
              <w:ind w:left="136"/>
              <w:rPr>
                <w:rFonts w:hint="eastAsia" w:eastAsia="宋体"/>
                <w:lang w:eastAsia="zh-CN"/>
              </w:rPr>
            </w:pPr>
            <w:r>
              <w:rPr>
                <w:rFonts w:hint="eastAsia"/>
                <w:spacing w:val="-2"/>
              </w:rPr>
              <w:t>山东济钢环保新材料有限公司</w:t>
            </w:r>
            <w:r>
              <w:rPr>
                <w:rFonts w:hint="eastAsia"/>
                <w:spacing w:val="-2"/>
                <w:lang w:eastAsia="zh-CN"/>
              </w:rPr>
              <w:t>东矿区原弓角湾村范围矿山边界安全护栏施工采购</w:t>
            </w:r>
          </w:p>
        </w:tc>
      </w:tr>
      <w:tr w14:paraId="11C6F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62" w:type="dxa"/>
            <w:vAlign w:val="center"/>
          </w:tcPr>
          <w:p w14:paraId="09388FE0">
            <w:pPr>
              <w:pStyle w:val="14"/>
              <w:spacing w:before="78" w:line="184" w:lineRule="auto"/>
              <w:ind w:left="206"/>
            </w:pPr>
            <w:r>
              <w:rPr>
                <w:spacing w:val="-6"/>
              </w:rPr>
              <w:t>1.1.3</w:t>
            </w:r>
          </w:p>
        </w:tc>
        <w:tc>
          <w:tcPr>
            <w:tcW w:w="1659" w:type="dxa"/>
            <w:vAlign w:val="center"/>
          </w:tcPr>
          <w:p w14:paraId="4298B51F">
            <w:pPr>
              <w:pStyle w:val="14"/>
              <w:spacing w:before="78" w:line="220" w:lineRule="auto"/>
              <w:ind w:left="356"/>
            </w:pPr>
            <w:r>
              <w:rPr>
                <w:rFonts w:hint="eastAsia"/>
                <w:spacing w:val="-3"/>
                <w:lang w:val="en-US" w:eastAsia="zh-CN"/>
              </w:rPr>
              <w:t>采购</w:t>
            </w:r>
            <w:r>
              <w:rPr>
                <w:spacing w:val="-3"/>
              </w:rPr>
              <w:t>范围</w:t>
            </w:r>
          </w:p>
        </w:tc>
        <w:tc>
          <w:tcPr>
            <w:tcW w:w="7152" w:type="dxa"/>
            <w:vAlign w:val="center"/>
          </w:tcPr>
          <w:p w14:paraId="2E97E750">
            <w:pPr>
              <w:pStyle w:val="14"/>
              <w:spacing w:before="35" w:line="234" w:lineRule="auto"/>
              <w:ind w:left="115" w:right="108"/>
              <w:jc w:val="both"/>
            </w:pPr>
            <w:r>
              <w:rPr>
                <w:rFonts w:hint="eastAsia" w:ascii="宋体" w:hAnsi="宋体" w:eastAsia="宋体" w:cs="宋体"/>
                <w:spacing w:val="1"/>
                <w:sz w:val="24"/>
                <w:szCs w:val="24"/>
              </w:rPr>
              <w:t>指定区域范围内全部</w:t>
            </w:r>
            <w:r>
              <w:rPr>
                <w:rFonts w:hint="eastAsia" w:cs="宋体"/>
                <w:spacing w:val="1"/>
                <w:sz w:val="24"/>
                <w:szCs w:val="24"/>
                <w:lang w:eastAsia="zh-CN"/>
              </w:rPr>
              <w:t>围栏</w:t>
            </w:r>
            <w:r>
              <w:rPr>
                <w:rFonts w:hint="eastAsia" w:ascii="宋体" w:hAnsi="宋体" w:eastAsia="宋体" w:cs="宋体"/>
                <w:spacing w:val="1"/>
                <w:sz w:val="24"/>
                <w:szCs w:val="24"/>
              </w:rPr>
              <w:t>工程的施工、验收及保修工作</w:t>
            </w:r>
            <w:r>
              <w:rPr>
                <w:rFonts w:hint="eastAsia" w:cs="宋体"/>
                <w:spacing w:val="1"/>
                <w:sz w:val="24"/>
                <w:szCs w:val="24"/>
                <w:lang w:eastAsia="zh-CN"/>
              </w:rPr>
              <w:t>，</w:t>
            </w:r>
            <w:r>
              <w:rPr>
                <w:rFonts w:hint="eastAsia" w:cs="宋体"/>
                <w:spacing w:val="1"/>
                <w:sz w:val="24"/>
                <w:szCs w:val="24"/>
                <w:lang w:val="en-US" w:eastAsia="zh-CN"/>
              </w:rPr>
              <w:t>包工包料</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包括</w:t>
            </w:r>
            <w:r>
              <w:rPr>
                <w:rFonts w:hint="eastAsia" w:ascii="宋体" w:hAnsi="宋体" w:eastAsia="宋体" w:cs="宋体"/>
                <w:spacing w:val="1"/>
                <w:sz w:val="24"/>
                <w:szCs w:val="24"/>
              </w:rPr>
              <w:t>基坑开挖，按照甲方要求开挖基坑</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模板支护、预埋钢管立柱、加强斜撑及混凝土浇筑</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模板拆除、基坑回填</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网片安装。</w:t>
            </w:r>
          </w:p>
        </w:tc>
      </w:tr>
      <w:tr w14:paraId="6E0D5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962" w:type="dxa"/>
            <w:vAlign w:val="top"/>
          </w:tcPr>
          <w:p w14:paraId="3940272C">
            <w:pPr>
              <w:spacing w:line="256" w:lineRule="auto"/>
              <w:rPr>
                <w:rFonts w:ascii="Arial"/>
                <w:sz w:val="21"/>
              </w:rPr>
            </w:pPr>
          </w:p>
          <w:p w14:paraId="0F8B331C">
            <w:pPr>
              <w:pStyle w:val="14"/>
              <w:spacing w:before="78" w:line="184" w:lineRule="auto"/>
              <w:ind w:left="206"/>
            </w:pPr>
            <w:r>
              <w:rPr>
                <w:spacing w:val="-6"/>
              </w:rPr>
              <w:t>1.1.4</w:t>
            </w:r>
          </w:p>
        </w:tc>
        <w:tc>
          <w:tcPr>
            <w:tcW w:w="1659" w:type="dxa"/>
            <w:vAlign w:val="top"/>
          </w:tcPr>
          <w:p w14:paraId="36A5EDBE">
            <w:pPr>
              <w:pStyle w:val="14"/>
              <w:spacing w:before="299" w:line="220" w:lineRule="auto"/>
              <w:ind w:left="359"/>
            </w:pPr>
            <w:r>
              <w:rPr>
                <w:spacing w:val="-4"/>
              </w:rPr>
              <w:t>项目地点</w:t>
            </w:r>
          </w:p>
        </w:tc>
        <w:tc>
          <w:tcPr>
            <w:tcW w:w="7152" w:type="dxa"/>
            <w:vAlign w:val="top"/>
          </w:tcPr>
          <w:p w14:paraId="1A341E2C">
            <w:pPr>
              <w:pStyle w:val="14"/>
              <w:spacing w:before="146" w:line="249" w:lineRule="auto"/>
              <w:ind w:left="132" w:right="321" w:firstLine="3"/>
            </w:pPr>
            <w:r>
              <w:rPr>
                <w:spacing w:val="-1"/>
              </w:rPr>
              <w:t>山东省济南市章丘区官庄街道山东济钢环保新材料有限</w:t>
            </w:r>
            <w:r>
              <w:rPr>
                <w:spacing w:val="-2"/>
              </w:rPr>
              <w:t>公司</w:t>
            </w:r>
            <w:r>
              <w:rPr>
                <w:rFonts w:hint="eastAsia"/>
                <w:spacing w:val="-2"/>
                <w:lang w:val="en-US" w:eastAsia="zh-CN"/>
              </w:rPr>
              <w:t>东矿区</w:t>
            </w:r>
            <w:r>
              <w:rPr>
                <w:spacing w:val="-2"/>
              </w:rPr>
              <w:t>矿山</w:t>
            </w:r>
            <w:r>
              <w:rPr>
                <w:spacing w:val="-14"/>
              </w:rPr>
              <w:t>区域</w:t>
            </w:r>
          </w:p>
        </w:tc>
      </w:tr>
      <w:tr w14:paraId="15EF2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top"/>
          </w:tcPr>
          <w:p w14:paraId="6E540893">
            <w:pPr>
              <w:pStyle w:val="14"/>
              <w:spacing w:before="87" w:line="183" w:lineRule="auto"/>
              <w:ind w:left="206"/>
            </w:pPr>
            <w:r>
              <w:rPr>
                <w:spacing w:val="-6"/>
              </w:rPr>
              <w:t>1.2.1</w:t>
            </w:r>
          </w:p>
        </w:tc>
        <w:tc>
          <w:tcPr>
            <w:tcW w:w="1659" w:type="dxa"/>
            <w:vAlign w:val="top"/>
          </w:tcPr>
          <w:p w14:paraId="1389B707">
            <w:pPr>
              <w:pStyle w:val="14"/>
              <w:spacing w:before="49" w:line="212" w:lineRule="auto"/>
              <w:ind w:left="365"/>
            </w:pPr>
            <w:r>
              <w:rPr>
                <w:spacing w:val="-5"/>
              </w:rPr>
              <w:t>资金来源</w:t>
            </w:r>
          </w:p>
        </w:tc>
        <w:tc>
          <w:tcPr>
            <w:tcW w:w="7152" w:type="dxa"/>
            <w:vAlign w:val="top"/>
          </w:tcPr>
          <w:p w14:paraId="19D4EAE9">
            <w:pPr>
              <w:pStyle w:val="14"/>
              <w:spacing w:before="68" w:line="197" w:lineRule="auto"/>
              <w:ind w:left="153"/>
            </w:pPr>
            <w:r>
              <w:rPr>
                <w:spacing w:val="-13"/>
              </w:rPr>
              <w:t>自有资金</w:t>
            </w:r>
          </w:p>
        </w:tc>
      </w:tr>
      <w:tr w14:paraId="63385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top"/>
          </w:tcPr>
          <w:p w14:paraId="50308074">
            <w:pPr>
              <w:pStyle w:val="14"/>
              <w:spacing w:before="84" w:line="184" w:lineRule="auto"/>
              <w:ind w:left="206"/>
            </w:pPr>
            <w:r>
              <w:rPr>
                <w:spacing w:val="-6"/>
              </w:rPr>
              <w:t>1.2.2</w:t>
            </w:r>
          </w:p>
        </w:tc>
        <w:tc>
          <w:tcPr>
            <w:tcW w:w="1659" w:type="dxa"/>
            <w:vAlign w:val="top"/>
          </w:tcPr>
          <w:p w14:paraId="0542B57B">
            <w:pPr>
              <w:pStyle w:val="14"/>
              <w:spacing w:before="48" w:line="213" w:lineRule="auto"/>
              <w:ind w:left="354"/>
            </w:pPr>
            <w:r>
              <w:rPr>
                <w:spacing w:val="-3"/>
              </w:rPr>
              <w:t>采购方式</w:t>
            </w:r>
          </w:p>
        </w:tc>
        <w:tc>
          <w:tcPr>
            <w:tcW w:w="7152" w:type="dxa"/>
            <w:vAlign w:val="top"/>
          </w:tcPr>
          <w:p w14:paraId="4C4577C8">
            <w:pPr>
              <w:pStyle w:val="14"/>
              <w:spacing w:before="70" w:line="196" w:lineRule="auto"/>
              <w:ind w:left="117"/>
            </w:pPr>
            <w:r>
              <w:rPr>
                <w:spacing w:val="-2"/>
              </w:rPr>
              <w:t>竞争性谈判，资格后审</w:t>
            </w:r>
          </w:p>
        </w:tc>
      </w:tr>
      <w:tr w14:paraId="5132F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62" w:type="dxa"/>
            <w:vAlign w:val="top"/>
          </w:tcPr>
          <w:p w14:paraId="79C6F4AB">
            <w:pPr>
              <w:pStyle w:val="14"/>
              <w:spacing w:before="193" w:line="184" w:lineRule="auto"/>
              <w:ind w:left="206"/>
            </w:pPr>
            <w:r>
              <w:rPr>
                <w:spacing w:val="-6"/>
              </w:rPr>
              <w:t>1.3.1</w:t>
            </w:r>
          </w:p>
        </w:tc>
        <w:tc>
          <w:tcPr>
            <w:tcW w:w="1659" w:type="dxa"/>
            <w:vAlign w:val="top"/>
          </w:tcPr>
          <w:p w14:paraId="7A99140D">
            <w:pPr>
              <w:pStyle w:val="14"/>
              <w:spacing w:before="178" w:line="219" w:lineRule="auto"/>
              <w:ind w:left="354"/>
            </w:pPr>
            <w:r>
              <w:rPr>
                <w:spacing w:val="-3"/>
              </w:rPr>
              <w:t>采购范围</w:t>
            </w:r>
          </w:p>
        </w:tc>
        <w:tc>
          <w:tcPr>
            <w:tcW w:w="7152" w:type="dxa"/>
            <w:vAlign w:val="top"/>
          </w:tcPr>
          <w:p w14:paraId="7DC417DE">
            <w:pPr>
              <w:pStyle w:val="14"/>
              <w:spacing w:before="156" w:line="219" w:lineRule="auto"/>
              <w:ind w:left="126"/>
            </w:pPr>
            <w:r>
              <w:rPr>
                <w:spacing w:val="-2"/>
              </w:rPr>
              <w:t>（详见第五章技术部分）</w:t>
            </w:r>
          </w:p>
        </w:tc>
      </w:tr>
      <w:tr w14:paraId="72F96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962" w:type="dxa"/>
            <w:vAlign w:val="top"/>
          </w:tcPr>
          <w:p w14:paraId="02187DCB">
            <w:pPr>
              <w:pStyle w:val="14"/>
              <w:spacing w:before="85" w:line="184" w:lineRule="auto"/>
              <w:ind w:left="206"/>
            </w:pPr>
            <w:r>
              <w:rPr>
                <w:spacing w:val="-6"/>
              </w:rPr>
              <w:t>1.3.2</w:t>
            </w:r>
          </w:p>
        </w:tc>
        <w:tc>
          <w:tcPr>
            <w:tcW w:w="1659" w:type="dxa"/>
            <w:vAlign w:val="top"/>
          </w:tcPr>
          <w:p w14:paraId="3ADCD89E">
            <w:pPr>
              <w:pStyle w:val="14"/>
              <w:spacing w:before="78" w:line="190" w:lineRule="auto"/>
              <w:ind w:left="355"/>
            </w:pPr>
            <w:r>
              <w:rPr>
                <w:spacing w:val="-3"/>
                <w:highlight w:val="none"/>
              </w:rPr>
              <w:t>计划工期</w:t>
            </w:r>
          </w:p>
        </w:tc>
        <w:tc>
          <w:tcPr>
            <w:tcW w:w="7152" w:type="dxa"/>
            <w:vAlign w:val="top"/>
          </w:tcPr>
          <w:p w14:paraId="3CCEF8E2">
            <w:pPr>
              <w:pStyle w:val="14"/>
              <w:spacing w:before="78" w:line="190" w:lineRule="auto"/>
              <w:ind w:left="114"/>
            </w:pPr>
            <w:r>
              <w:rPr>
                <w:rFonts w:hint="eastAsia" w:ascii="Times New Roman" w:hAnsi="Times New Roman" w:eastAsia="宋体" w:cs="Times New Roman"/>
                <w:spacing w:val="-1"/>
                <w:lang w:val="en-US" w:eastAsia="zh-CN"/>
              </w:rPr>
              <w:t xml:space="preserve">  </w:t>
            </w:r>
            <w:r>
              <w:rPr>
                <w:rFonts w:hint="eastAsia" w:ascii="Times New Roman" w:hAnsi="Times New Roman" w:cs="Times New Roman"/>
                <w:spacing w:val="-1"/>
                <w:lang w:val="en-US" w:eastAsia="zh-CN"/>
              </w:rPr>
              <w:t>45</w:t>
            </w:r>
            <w:r>
              <w:rPr>
                <w:spacing w:val="-1"/>
              </w:rPr>
              <w:t>天，合同生效当日开始</w:t>
            </w:r>
          </w:p>
        </w:tc>
      </w:tr>
      <w:tr w14:paraId="39E2B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962" w:type="dxa"/>
            <w:vAlign w:val="top"/>
          </w:tcPr>
          <w:p w14:paraId="36E748F5">
            <w:pPr>
              <w:spacing w:line="246" w:lineRule="auto"/>
              <w:rPr>
                <w:rFonts w:ascii="Arial"/>
                <w:sz w:val="21"/>
              </w:rPr>
            </w:pPr>
          </w:p>
          <w:p w14:paraId="094D2C3D">
            <w:pPr>
              <w:pStyle w:val="14"/>
              <w:spacing w:before="78" w:line="184" w:lineRule="auto"/>
              <w:ind w:left="206"/>
            </w:pPr>
            <w:r>
              <w:rPr>
                <w:spacing w:val="-6"/>
              </w:rPr>
              <w:t>1.3.3</w:t>
            </w:r>
          </w:p>
        </w:tc>
        <w:tc>
          <w:tcPr>
            <w:tcW w:w="1659" w:type="dxa"/>
            <w:vAlign w:val="top"/>
          </w:tcPr>
          <w:p w14:paraId="010B319A">
            <w:pPr>
              <w:pStyle w:val="14"/>
              <w:spacing w:before="289" w:line="222" w:lineRule="auto"/>
              <w:ind w:left="354"/>
            </w:pPr>
            <w:r>
              <w:rPr>
                <w:spacing w:val="-3"/>
              </w:rPr>
              <w:t>施工地点</w:t>
            </w:r>
          </w:p>
        </w:tc>
        <w:tc>
          <w:tcPr>
            <w:tcW w:w="7152" w:type="dxa"/>
            <w:vAlign w:val="top"/>
          </w:tcPr>
          <w:p w14:paraId="61C8F6F3">
            <w:pPr>
              <w:pStyle w:val="14"/>
              <w:spacing w:before="136" w:line="249" w:lineRule="auto"/>
              <w:ind w:left="132" w:right="321" w:firstLine="3"/>
            </w:pPr>
            <w:r>
              <w:rPr>
                <w:spacing w:val="-1"/>
              </w:rPr>
              <w:t>山东省济南市章丘区官庄街道山东济钢环保新材料有限</w:t>
            </w:r>
            <w:r>
              <w:rPr>
                <w:spacing w:val="-2"/>
              </w:rPr>
              <w:t>公司</w:t>
            </w:r>
            <w:r>
              <w:rPr>
                <w:rFonts w:hint="eastAsia"/>
                <w:spacing w:val="-2"/>
                <w:lang w:val="en-US" w:eastAsia="zh-CN"/>
              </w:rPr>
              <w:t>东矿区</w:t>
            </w:r>
            <w:r>
              <w:rPr>
                <w:spacing w:val="-2"/>
              </w:rPr>
              <w:t>矿山</w:t>
            </w:r>
            <w:r>
              <w:rPr>
                <w:spacing w:val="-14"/>
              </w:rPr>
              <w:t>区域</w:t>
            </w:r>
          </w:p>
        </w:tc>
      </w:tr>
      <w:tr w14:paraId="6E416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top"/>
          </w:tcPr>
          <w:p w14:paraId="2373EF7D">
            <w:pPr>
              <w:pStyle w:val="14"/>
              <w:spacing w:before="85" w:line="184" w:lineRule="auto"/>
              <w:ind w:left="206"/>
            </w:pPr>
            <w:r>
              <w:rPr>
                <w:spacing w:val="-6"/>
              </w:rPr>
              <w:t>1.3.4</w:t>
            </w:r>
          </w:p>
        </w:tc>
        <w:tc>
          <w:tcPr>
            <w:tcW w:w="1659" w:type="dxa"/>
            <w:vAlign w:val="top"/>
          </w:tcPr>
          <w:p w14:paraId="2B337BB7">
            <w:pPr>
              <w:pStyle w:val="14"/>
              <w:spacing w:before="49" w:line="212" w:lineRule="auto"/>
              <w:ind w:left="476"/>
            </w:pPr>
            <w:r>
              <w:rPr>
                <w:spacing w:val="-4"/>
              </w:rPr>
              <w:t>质保期</w:t>
            </w:r>
          </w:p>
        </w:tc>
        <w:tc>
          <w:tcPr>
            <w:tcW w:w="7152" w:type="dxa"/>
            <w:vAlign w:val="top"/>
          </w:tcPr>
          <w:p w14:paraId="4F5A5700">
            <w:pPr>
              <w:pStyle w:val="14"/>
              <w:spacing w:before="70" w:line="196" w:lineRule="auto"/>
              <w:ind w:left="116"/>
              <w:rPr>
                <w:rFonts w:hint="eastAsia" w:eastAsia="宋体"/>
                <w:lang w:eastAsia="zh-CN"/>
              </w:rPr>
            </w:pPr>
            <w:r>
              <w:rPr>
                <w:rFonts w:hint="eastAsia"/>
                <w:lang w:val="en-US" w:eastAsia="zh-CN"/>
              </w:rPr>
              <w:t>一年</w:t>
            </w:r>
          </w:p>
        </w:tc>
      </w:tr>
      <w:tr w14:paraId="356E7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7" w:hRule="atLeast"/>
        </w:trPr>
        <w:tc>
          <w:tcPr>
            <w:tcW w:w="962" w:type="dxa"/>
            <w:vAlign w:val="top"/>
          </w:tcPr>
          <w:p w14:paraId="78D3671A">
            <w:pPr>
              <w:spacing w:line="269" w:lineRule="auto"/>
              <w:rPr>
                <w:rFonts w:ascii="Arial"/>
                <w:sz w:val="21"/>
              </w:rPr>
            </w:pPr>
          </w:p>
          <w:p w14:paraId="48D412C6">
            <w:pPr>
              <w:spacing w:line="269" w:lineRule="auto"/>
              <w:rPr>
                <w:rFonts w:ascii="Arial"/>
                <w:sz w:val="21"/>
              </w:rPr>
            </w:pPr>
          </w:p>
          <w:p w14:paraId="7B992A14">
            <w:pPr>
              <w:spacing w:line="269" w:lineRule="auto"/>
              <w:rPr>
                <w:rFonts w:ascii="Arial"/>
                <w:sz w:val="21"/>
              </w:rPr>
            </w:pPr>
          </w:p>
          <w:p w14:paraId="0B173023">
            <w:pPr>
              <w:spacing w:line="270" w:lineRule="auto"/>
              <w:rPr>
                <w:rFonts w:ascii="Arial"/>
                <w:sz w:val="21"/>
              </w:rPr>
            </w:pPr>
          </w:p>
          <w:p w14:paraId="509BA11C">
            <w:pPr>
              <w:spacing w:line="270" w:lineRule="auto"/>
              <w:rPr>
                <w:rFonts w:ascii="Arial"/>
                <w:sz w:val="21"/>
              </w:rPr>
            </w:pPr>
          </w:p>
          <w:p w14:paraId="4CCF35F6">
            <w:pPr>
              <w:spacing w:line="270" w:lineRule="auto"/>
              <w:rPr>
                <w:rFonts w:ascii="Arial"/>
                <w:sz w:val="21"/>
              </w:rPr>
            </w:pPr>
          </w:p>
          <w:p w14:paraId="544F89CC">
            <w:pPr>
              <w:spacing w:line="270" w:lineRule="auto"/>
              <w:rPr>
                <w:rFonts w:ascii="Arial"/>
                <w:sz w:val="21"/>
              </w:rPr>
            </w:pPr>
          </w:p>
          <w:p w14:paraId="00E92E5B">
            <w:pPr>
              <w:spacing w:line="270" w:lineRule="auto"/>
              <w:rPr>
                <w:rFonts w:ascii="Arial"/>
                <w:sz w:val="21"/>
              </w:rPr>
            </w:pPr>
          </w:p>
          <w:p w14:paraId="701BDDF2">
            <w:pPr>
              <w:pStyle w:val="14"/>
              <w:spacing w:before="78" w:line="184" w:lineRule="auto"/>
              <w:ind w:left="206"/>
            </w:pPr>
            <w:r>
              <w:rPr>
                <w:spacing w:val="-6"/>
              </w:rPr>
              <w:t>1.4.1</w:t>
            </w:r>
          </w:p>
        </w:tc>
        <w:tc>
          <w:tcPr>
            <w:tcW w:w="1659" w:type="dxa"/>
            <w:vAlign w:val="top"/>
          </w:tcPr>
          <w:p w14:paraId="61F5B0B4">
            <w:pPr>
              <w:spacing w:line="245" w:lineRule="auto"/>
              <w:rPr>
                <w:rFonts w:ascii="Arial"/>
                <w:sz w:val="21"/>
              </w:rPr>
            </w:pPr>
          </w:p>
          <w:p w14:paraId="0B24BB46">
            <w:pPr>
              <w:spacing w:line="245" w:lineRule="auto"/>
              <w:rPr>
                <w:rFonts w:ascii="Arial"/>
                <w:sz w:val="21"/>
              </w:rPr>
            </w:pPr>
          </w:p>
          <w:p w14:paraId="2174C1BC">
            <w:pPr>
              <w:spacing w:line="245" w:lineRule="auto"/>
              <w:rPr>
                <w:rFonts w:ascii="Arial"/>
                <w:sz w:val="21"/>
              </w:rPr>
            </w:pPr>
          </w:p>
          <w:p w14:paraId="7035AC69">
            <w:pPr>
              <w:spacing w:line="245" w:lineRule="auto"/>
              <w:rPr>
                <w:rFonts w:ascii="Arial"/>
                <w:sz w:val="21"/>
              </w:rPr>
            </w:pPr>
          </w:p>
          <w:p w14:paraId="1D3D46F2">
            <w:pPr>
              <w:spacing w:line="246" w:lineRule="auto"/>
              <w:rPr>
                <w:rFonts w:ascii="Arial"/>
                <w:sz w:val="21"/>
              </w:rPr>
            </w:pPr>
          </w:p>
          <w:p w14:paraId="4BBE9A04">
            <w:pPr>
              <w:spacing w:line="246" w:lineRule="auto"/>
              <w:rPr>
                <w:rFonts w:ascii="Arial"/>
                <w:sz w:val="21"/>
              </w:rPr>
            </w:pPr>
          </w:p>
          <w:p w14:paraId="5017F27A">
            <w:pPr>
              <w:spacing w:line="246" w:lineRule="auto"/>
              <w:rPr>
                <w:rFonts w:ascii="Arial"/>
                <w:sz w:val="21"/>
              </w:rPr>
            </w:pPr>
          </w:p>
          <w:p w14:paraId="6EE31244">
            <w:pPr>
              <w:spacing w:line="246" w:lineRule="auto"/>
              <w:rPr>
                <w:rFonts w:ascii="Arial"/>
                <w:sz w:val="21"/>
              </w:rPr>
            </w:pPr>
          </w:p>
          <w:p w14:paraId="787EA696">
            <w:pPr>
              <w:pStyle w:val="14"/>
              <w:spacing w:before="78" w:line="264" w:lineRule="auto"/>
              <w:ind w:left="595" w:right="108" w:hanging="480"/>
            </w:pPr>
            <w:r>
              <w:rPr>
                <w:spacing w:val="-2"/>
              </w:rPr>
              <w:t>供应商的资格</w:t>
            </w:r>
            <w:r>
              <w:rPr>
                <w:spacing w:val="1"/>
              </w:rPr>
              <w:t xml:space="preserve"> </w:t>
            </w:r>
            <w:r>
              <w:rPr>
                <w:spacing w:val="-6"/>
              </w:rPr>
              <w:t>要求</w:t>
            </w:r>
          </w:p>
        </w:tc>
        <w:tc>
          <w:tcPr>
            <w:tcW w:w="7152" w:type="dxa"/>
            <w:vAlign w:val="top"/>
          </w:tcPr>
          <w:p w14:paraId="20A8542C">
            <w:pPr>
              <w:keepNext w:val="0"/>
              <w:keepLines w:val="0"/>
              <w:pageBreakBefore w:val="0"/>
              <w:widowControl/>
              <w:kinsoku w:val="0"/>
              <w:wordWrap/>
              <w:overflowPunct/>
              <w:topLinePunct w:val="0"/>
              <w:autoSpaceDE w:val="0"/>
              <w:autoSpaceDN w:val="0"/>
              <w:bidi w:val="0"/>
              <w:adjustRightInd w:val="0"/>
              <w:snapToGrid w:val="0"/>
              <w:spacing w:line="360" w:lineRule="auto"/>
              <w:ind w:right="-6" w:firstLine="464" w:firstLineChars="200"/>
              <w:textAlignment w:val="baseline"/>
              <w:rPr>
                <w:rFonts w:ascii="宋体" w:hAnsi="宋体" w:eastAsia="宋体" w:cs="宋体"/>
                <w:sz w:val="24"/>
                <w:szCs w:val="24"/>
              </w:rPr>
            </w:pPr>
            <w:r>
              <w:rPr>
                <w:rFonts w:ascii="宋体" w:hAnsi="宋体" w:eastAsia="宋体" w:cs="宋体"/>
                <w:spacing w:val="-4"/>
                <w:sz w:val="24"/>
                <w:szCs w:val="24"/>
              </w:rPr>
              <w:t>1、资质要求：依法成立，具有法人资格和一般纳税人资格，营业范围</w:t>
            </w:r>
            <w:r>
              <w:rPr>
                <w:rFonts w:ascii="宋体" w:hAnsi="宋体" w:eastAsia="宋体" w:cs="宋体"/>
                <w:spacing w:val="-5"/>
                <w:sz w:val="24"/>
                <w:szCs w:val="24"/>
              </w:rPr>
              <w:t>包含本项</w:t>
            </w:r>
            <w:r>
              <w:rPr>
                <w:rFonts w:ascii="宋体" w:hAnsi="宋体" w:eastAsia="宋体" w:cs="宋体"/>
                <w:spacing w:val="-13"/>
                <w:sz w:val="24"/>
                <w:szCs w:val="24"/>
              </w:rPr>
              <w:t>内容；</w:t>
            </w:r>
          </w:p>
          <w:p w14:paraId="17432E5C">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2" w:firstLineChars="200"/>
              <w:textAlignment w:val="baseline"/>
              <w:rPr>
                <w:rFonts w:ascii="宋体" w:hAnsi="宋体" w:eastAsia="宋体" w:cs="宋体"/>
                <w:sz w:val="24"/>
                <w:szCs w:val="24"/>
              </w:rPr>
            </w:pPr>
            <w:r>
              <w:rPr>
                <w:rFonts w:ascii="宋体" w:hAnsi="宋体" w:eastAsia="宋体" w:cs="宋体"/>
                <w:spacing w:val="-2"/>
                <w:sz w:val="24"/>
                <w:szCs w:val="24"/>
              </w:rPr>
              <w:t>2、业绩要求：近三年完成过类似工程</w:t>
            </w:r>
            <w:r>
              <w:rPr>
                <w:rFonts w:ascii="宋体" w:hAnsi="宋体" w:eastAsia="宋体" w:cs="宋体"/>
                <w:spacing w:val="-31"/>
                <w:sz w:val="24"/>
                <w:szCs w:val="24"/>
              </w:rPr>
              <w:t xml:space="preserve"> </w:t>
            </w:r>
            <w:r>
              <w:rPr>
                <w:rFonts w:ascii="宋体" w:hAnsi="宋体" w:eastAsia="宋体" w:cs="宋体"/>
                <w:spacing w:val="-2"/>
                <w:sz w:val="24"/>
                <w:szCs w:val="24"/>
              </w:rPr>
              <w:t>1</w:t>
            </w:r>
            <w:r>
              <w:rPr>
                <w:rFonts w:ascii="宋体" w:hAnsi="宋体" w:eastAsia="宋体" w:cs="宋体"/>
                <w:spacing w:val="-51"/>
                <w:sz w:val="24"/>
                <w:szCs w:val="24"/>
              </w:rPr>
              <w:t xml:space="preserve"> </w:t>
            </w:r>
            <w:r>
              <w:rPr>
                <w:rFonts w:ascii="宋体" w:hAnsi="宋体" w:eastAsia="宋体" w:cs="宋体"/>
                <w:spacing w:val="-2"/>
                <w:sz w:val="24"/>
                <w:szCs w:val="24"/>
              </w:rPr>
              <w:t>个及以上的业绩</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需要提供合同扫描件</w:t>
            </w:r>
            <w:r>
              <w:rPr>
                <w:rFonts w:ascii="宋体" w:hAnsi="宋体" w:eastAsia="宋体" w:cs="宋体"/>
                <w:spacing w:val="-2"/>
                <w:sz w:val="24"/>
                <w:szCs w:val="24"/>
              </w:rPr>
              <w:t>；</w:t>
            </w:r>
          </w:p>
          <w:p w14:paraId="32188F03">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6" w:firstLineChars="200"/>
              <w:textAlignment w:val="baseline"/>
              <w:rPr>
                <w:rFonts w:ascii="宋体" w:hAnsi="宋体" w:eastAsia="宋体" w:cs="宋体"/>
                <w:sz w:val="24"/>
                <w:szCs w:val="24"/>
              </w:rPr>
            </w:pPr>
            <w:r>
              <w:rPr>
                <w:rFonts w:ascii="宋体" w:hAnsi="宋体" w:eastAsia="宋体" w:cs="宋体"/>
                <w:spacing w:val="-1"/>
                <w:sz w:val="24"/>
                <w:szCs w:val="24"/>
              </w:rPr>
              <w:t>3、具有履行合同必需的装备、专业技术、资质能力；</w:t>
            </w:r>
          </w:p>
          <w:p w14:paraId="454D0A13">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8"/>
              <w:textAlignment w:val="baseline"/>
              <w:rPr>
                <w:rFonts w:ascii="宋体" w:hAnsi="宋体" w:eastAsia="宋体" w:cs="宋体"/>
                <w:sz w:val="24"/>
                <w:szCs w:val="24"/>
              </w:rPr>
            </w:pPr>
            <w:r>
              <w:rPr>
                <w:rFonts w:ascii="宋体" w:hAnsi="宋体" w:eastAsia="宋体" w:cs="宋体"/>
                <w:spacing w:val="-4"/>
                <w:sz w:val="24"/>
                <w:szCs w:val="24"/>
              </w:rPr>
              <w:t>4、</w:t>
            </w:r>
            <w:r>
              <w:rPr>
                <w:rFonts w:hint="eastAsia" w:ascii="宋体" w:hAnsi="宋体" w:eastAsia="宋体" w:cs="宋体"/>
                <w:spacing w:val="-4"/>
                <w:sz w:val="24"/>
                <w:szCs w:val="24"/>
                <w:lang w:val="en-US" w:eastAsia="zh-CN"/>
              </w:rPr>
              <w:t>供应商</w:t>
            </w:r>
            <w:r>
              <w:rPr>
                <w:rFonts w:ascii="宋体" w:hAnsi="宋体" w:eastAsia="宋体" w:cs="宋体"/>
                <w:spacing w:val="-4"/>
                <w:sz w:val="24"/>
                <w:szCs w:val="24"/>
              </w:rPr>
              <w:t>须遵守中华人民共和国有关法律、法规，无</w:t>
            </w:r>
            <w:r>
              <w:rPr>
                <w:rFonts w:ascii="宋体" w:hAnsi="宋体" w:eastAsia="宋体" w:cs="宋体"/>
                <w:spacing w:val="-5"/>
                <w:sz w:val="24"/>
                <w:szCs w:val="24"/>
              </w:rPr>
              <w:t>重大违法违约行为。“通</w:t>
            </w:r>
            <w:r>
              <w:rPr>
                <w:rFonts w:ascii="宋体" w:hAnsi="宋体" w:eastAsia="宋体" w:cs="宋体"/>
                <w:sz w:val="24"/>
                <w:szCs w:val="24"/>
              </w:rPr>
              <w:t xml:space="preserve"> </w:t>
            </w:r>
            <w:r>
              <w:rPr>
                <w:rFonts w:ascii="宋体" w:hAnsi="宋体" w:eastAsia="宋体" w:cs="宋体"/>
                <w:spacing w:val="-9"/>
                <w:sz w:val="24"/>
                <w:szCs w:val="24"/>
              </w:rPr>
              <w:t>过</w:t>
            </w:r>
            <w:r>
              <w:rPr>
                <w:rFonts w:ascii="宋体" w:hAnsi="宋体" w:eastAsia="宋体" w:cs="宋体"/>
                <w:spacing w:val="-46"/>
                <w:sz w:val="24"/>
                <w:szCs w:val="24"/>
              </w:rPr>
              <w:t xml:space="preserve"> </w:t>
            </w:r>
            <w:r>
              <w:rPr>
                <w:rFonts w:ascii="宋体" w:hAnsi="宋体" w:eastAsia="宋体" w:cs="宋体"/>
                <w:spacing w:val="-9"/>
                <w:sz w:val="24"/>
                <w:szCs w:val="24"/>
              </w:rPr>
              <w:t>“</w:t>
            </w:r>
            <w:r>
              <w:rPr>
                <w:rFonts w:ascii="宋体" w:hAnsi="宋体" w:eastAsia="宋体" w:cs="宋体"/>
                <w:spacing w:val="-36"/>
                <w:sz w:val="24"/>
                <w:szCs w:val="24"/>
              </w:rPr>
              <w:t xml:space="preserve"> </w:t>
            </w:r>
            <w:r>
              <w:rPr>
                <w:rFonts w:ascii="宋体" w:hAnsi="宋体" w:eastAsia="宋体" w:cs="宋体"/>
                <w:spacing w:val="-9"/>
                <w:sz w:val="24"/>
                <w:szCs w:val="24"/>
              </w:rPr>
              <w:t>信</w:t>
            </w:r>
            <w:r>
              <w:rPr>
                <w:rFonts w:ascii="宋体" w:hAnsi="宋体" w:eastAsia="宋体" w:cs="宋体"/>
                <w:spacing w:val="-34"/>
                <w:sz w:val="24"/>
                <w:szCs w:val="24"/>
              </w:rPr>
              <w:t xml:space="preserve"> </w:t>
            </w:r>
            <w:r>
              <w:rPr>
                <w:rFonts w:ascii="宋体" w:hAnsi="宋体" w:eastAsia="宋体" w:cs="宋体"/>
                <w:spacing w:val="-9"/>
                <w:sz w:val="24"/>
                <w:szCs w:val="24"/>
              </w:rPr>
              <w:t>用 中 国 ”</w:t>
            </w:r>
            <w:r>
              <w:rPr>
                <w:rFonts w:ascii="宋体" w:hAnsi="宋体" w:eastAsia="宋体" w:cs="宋体"/>
                <w:spacing w:val="-50"/>
                <w:sz w:val="24"/>
                <w:szCs w:val="24"/>
              </w:rPr>
              <w:t xml:space="preserve"> </w:t>
            </w:r>
            <w:r>
              <w:rPr>
                <w:rFonts w:ascii="宋体" w:hAnsi="宋体" w:eastAsia="宋体" w:cs="宋体"/>
                <w:spacing w:val="-9"/>
                <w:sz w:val="24"/>
                <w:szCs w:val="24"/>
              </w:rPr>
              <w:t>网</w:t>
            </w:r>
            <w:r>
              <w:rPr>
                <w:rFonts w:ascii="宋体" w:hAnsi="宋体" w:eastAsia="宋体" w:cs="宋体"/>
                <w:spacing w:val="-35"/>
                <w:sz w:val="24"/>
                <w:szCs w:val="24"/>
              </w:rPr>
              <w:t xml:space="preserve"> </w:t>
            </w:r>
            <w:r>
              <w:rPr>
                <w:rFonts w:ascii="宋体" w:hAnsi="宋体" w:eastAsia="宋体" w:cs="宋体"/>
                <w:spacing w:val="-9"/>
                <w:sz w:val="24"/>
                <w:szCs w:val="24"/>
              </w:rPr>
              <w:t>站</w:t>
            </w:r>
            <w:r>
              <w:rPr>
                <w:rFonts w:ascii="宋体" w:hAnsi="宋体" w:eastAsia="宋体" w:cs="宋体"/>
                <w:spacing w:val="-46"/>
                <w:sz w:val="24"/>
                <w:szCs w:val="24"/>
              </w:rPr>
              <w:t xml:space="preserve"> </w:t>
            </w:r>
            <w:r>
              <w:rPr>
                <w:rFonts w:ascii="宋体" w:hAnsi="宋体" w:eastAsia="宋体" w:cs="宋体"/>
                <w:spacing w:val="-9"/>
                <w:sz w:val="24"/>
                <w:szCs w:val="24"/>
              </w:rPr>
              <w:t>（ www.creditchi</w:t>
            </w:r>
            <w:r>
              <w:rPr>
                <w:rFonts w:ascii="宋体" w:hAnsi="宋体" w:eastAsia="宋体" w:cs="宋体"/>
                <w:spacing w:val="-10"/>
                <w:sz w:val="24"/>
                <w:szCs w:val="24"/>
              </w:rPr>
              <w:t>na.gov.cn ） 、</w:t>
            </w:r>
            <w:r>
              <w:rPr>
                <w:rFonts w:ascii="宋体" w:hAnsi="宋体" w:eastAsia="宋体" w:cs="宋体"/>
                <w:spacing w:val="-13"/>
                <w:sz w:val="24"/>
                <w:szCs w:val="24"/>
              </w:rPr>
              <w:t xml:space="preserve"> </w:t>
            </w:r>
            <w:r>
              <w:rPr>
                <w:rFonts w:ascii="宋体" w:hAnsi="宋体" w:eastAsia="宋体" w:cs="宋体"/>
                <w:spacing w:val="-10"/>
                <w:sz w:val="24"/>
                <w:szCs w:val="24"/>
              </w:rPr>
              <w:t>中 国</w:t>
            </w:r>
            <w:r>
              <w:rPr>
                <w:rFonts w:ascii="宋体" w:hAnsi="宋体" w:eastAsia="宋体" w:cs="宋体"/>
                <w:spacing w:val="-38"/>
                <w:sz w:val="24"/>
                <w:szCs w:val="24"/>
              </w:rPr>
              <w:t xml:space="preserve"> </w:t>
            </w:r>
            <w:r>
              <w:rPr>
                <w:rFonts w:ascii="宋体" w:hAnsi="宋体" w:eastAsia="宋体" w:cs="宋体"/>
                <w:spacing w:val="-10"/>
                <w:sz w:val="24"/>
                <w:szCs w:val="24"/>
              </w:rPr>
              <w:t>政</w:t>
            </w:r>
            <w:r>
              <w:rPr>
                <w:rFonts w:ascii="宋体" w:hAnsi="宋体" w:eastAsia="宋体" w:cs="宋体"/>
                <w:spacing w:val="-37"/>
                <w:sz w:val="24"/>
                <w:szCs w:val="24"/>
              </w:rPr>
              <w:t xml:space="preserve"> </w:t>
            </w:r>
            <w:r>
              <w:rPr>
                <w:rFonts w:ascii="宋体" w:hAnsi="宋体" w:eastAsia="宋体" w:cs="宋体"/>
                <w:spacing w:val="-10"/>
                <w:sz w:val="24"/>
                <w:szCs w:val="24"/>
              </w:rPr>
              <w:t>府</w:t>
            </w:r>
            <w:r>
              <w:rPr>
                <w:rFonts w:ascii="宋体" w:hAnsi="宋体" w:eastAsia="宋体" w:cs="宋体"/>
                <w:spacing w:val="-33"/>
                <w:sz w:val="24"/>
                <w:szCs w:val="24"/>
              </w:rPr>
              <w:t xml:space="preserve"> </w:t>
            </w:r>
            <w:r>
              <w:rPr>
                <w:rFonts w:ascii="宋体" w:hAnsi="宋体" w:eastAsia="宋体" w:cs="宋体"/>
                <w:spacing w:val="-10"/>
                <w:sz w:val="24"/>
                <w:szCs w:val="24"/>
              </w:rPr>
              <w:t>招</w:t>
            </w:r>
            <w:r>
              <w:rPr>
                <w:rFonts w:ascii="宋体" w:hAnsi="宋体" w:eastAsia="宋体" w:cs="宋体"/>
                <w:spacing w:val="-35"/>
                <w:sz w:val="24"/>
                <w:szCs w:val="24"/>
              </w:rPr>
              <w:t xml:space="preserve"> </w:t>
            </w:r>
            <w:r>
              <w:rPr>
                <w:rFonts w:ascii="宋体" w:hAnsi="宋体" w:eastAsia="宋体" w:cs="宋体"/>
                <w:spacing w:val="-10"/>
                <w:sz w:val="24"/>
                <w:szCs w:val="24"/>
              </w:rPr>
              <w:t>标</w:t>
            </w:r>
            <w:r>
              <w:rPr>
                <w:rFonts w:ascii="宋体" w:hAnsi="宋体" w:eastAsia="宋体" w:cs="宋体"/>
                <w:spacing w:val="-17"/>
                <w:sz w:val="24"/>
                <w:szCs w:val="24"/>
              </w:rPr>
              <w:t xml:space="preserve"> </w:t>
            </w:r>
            <w:r>
              <w:rPr>
                <w:rFonts w:ascii="宋体" w:hAnsi="宋体" w:eastAsia="宋体" w:cs="宋体"/>
                <w:spacing w:val="-10"/>
                <w:sz w:val="24"/>
                <w:szCs w:val="24"/>
              </w:rPr>
              <w:t>网</w:t>
            </w:r>
          </w:p>
          <w:p w14:paraId="06113C6E">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11"/>
              <w:textAlignment w:val="baseline"/>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z w:val="24"/>
                <w:szCs w:val="24"/>
              </w:rPr>
              <w:t>www</w:t>
            </w:r>
            <w:r>
              <w:rPr>
                <w:rFonts w:ascii="宋体" w:hAnsi="宋体" w:eastAsia="宋体" w:cs="宋体"/>
                <w:spacing w:val="1"/>
                <w:sz w:val="24"/>
                <w:szCs w:val="24"/>
              </w:rPr>
              <w:t>.</w:t>
            </w:r>
            <w:r>
              <w:rPr>
                <w:rFonts w:ascii="宋体" w:hAnsi="宋体" w:eastAsia="宋体" w:cs="宋体"/>
                <w:sz w:val="24"/>
                <w:szCs w:val="24"/>
              </w:rPr>
              <w:t>ccgp</w:t>
            </w:r>
            <w:r>
              <w:rPr>
                <w:rFonts w:ascii="宋体" w:hAnsi="宋体" w:eastAsia="宋体" w:cs="宋体"/>
                <w:spacing w:val="1"/>
                <w:sz w:val="24"/>
                <w:szCs w:val="24"/>
              </w:rPr>
              <w:t>.</w:t>
            </w:r>
            <w:r>
              <w:rPr>
                <w:rFonts w:ascii="宋体" w:hAnsi="宋体" w:eastAsia="宋体" w:cs="宋体"/>
                <w:sz w:val="24"/>
                <w:szCs w:val="24"/>
              </w:rPr>
              <w:t>gov</w:t>
            </w:r>
            <w:r>
              <w:rPr>
                <w:rFonts w:ascii="宋体" w:hAnsi="宋体" w:eastAsia="宋体" w:cs="宋体"/>
                <w:spacing w:val="1"/>
                <w:sz w:val="24"/>
                <w:szCs w:val="24"/>
              </w:rPr>
              <w:t>.</w:t>
            </w:r>
            <w:r>
              <w:rPr>
                <w:rFonts w:ascii="宋体" w:hAnsi="宋体" w:eastAsia="宋体" w:cs="宋体"/>
                <w:sz w:val="24"/>
                <w:szCs w:val="24"/>
              </w:rPr>
              <w:t>cn</w:t>
            </w:r>
            <w:r>
              <w:rPr>
                <w:rFonts w:ascii="宋体" w:hAnsi="宋体" w:eastAsia="宋体" w:cs="宋体"/>
                <w:spacing w:val="1"/>
                <w:sz w:val="24"/>
                <w:szCs w:val="24"/>
              </w:rPr>
              <w:t>）查询，未被列入失信被执行人、重大税收违法案件当事人、</w:t>
            </w:r>
            <w:r>
              <w:rPr>
                <w:rFonts w:ascii="宋体" w:hAnsi="宋体" w:eastAsia="宋体" w:cs="宋体"/>
                <w:spacing w:val="5"/>
                <w:sz w:val="24"/>
                <w:szCs w:val="24"/>
              </w:rPr>
              <w:t xml:space="preserve"> </w:t>
            </w:r>
            <w:r>
              <w:rPr>
                <w:rFonts w:ascii="宋体" w:hAnsi="宋体" w:eastAsia="宋体" w:cs="宋体"/>
                <w:spacing w:val="-2"/>
                <w:sz w:val="24"/>
                <w:szCs w:val="24"/>
              </w:rPr>
              <w:t>政府招标严重违法失信行为记录名单</w:t>
            </w:r>
            <w:r>
              <w:rPr>
                <w:rFonts w:ascii="宋体" w:hAnsi="宋体" w:eastAsia="宋体" w:cs="宋体"/>
                <w:spacing w:val="-80"/>
                <w:sz w:val="24"/>
                <w:szCs w:val="24"/>
              </w:rPr>
              <w:t xml:space="preserve"> </w:t>
            </w:r>
            <w:r>
              <w:rPr>
                <w:rFonts w:ascii="宋体" w:hAnsi="宋体" w:eastAsia="宋体" w:cs="宋体"/>
                <w:spacing w:val="-2"/>
                <w:sz w:val="24"/>
                <w:szCs w:val="24"/>
              </w:rPr>
              <w:t>”，提供查询截屏。</w:t>
            </w:r>
          </w:p>
          <w:p w14:paraId="45C2DD3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6"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如有单位资料造假，一经发现，立即在网上公示，并永久取消</w:t>
            </w:r>
            <w:r>
              <w:rPr>
                <w:rFonts w:hint="eastAsia" w:ascii="宋体" w:hAnsi="宋体" w:eastAsia="宋体" w:cs="宋体"/>
                <w:spacing w:val="-1"/>
                <w:sz w:val="24"/>
                <w:szCs w:val="24"/>
                <w:lang w:val="en-US" w:eastAsia="zh-CN"/>
              </w:rPr>
              <w:t>其</w:t>
            </w:r>
            <w:r>
              <w:rPr>
                <w:rFonts w:ascii="宋体" w:hAnsi="宋体" w:eastAsia="宋体" w:cs="宋体"/>
                <w:spacing w:val="-1"/>
                <w:sz w:val="24"/>
                <w:szCs w:val="24"/>
              </w:rPr>
              <w:t>资格。</w:t>
            </w:r>
          </w:p>
          <w:p w14:paraId="69BA973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6"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lang w:val="en-US" w:eastAsia="zh-CN"/>
              </w:rPr>
              <w:t>供应商应</w:t>
            </w:r>
            <w:r>
              <w:rPr>
                <w:rFonts w:hint="eastAsia" w:ascii="宋体" w:hAnsi="宋体" w:eastAsia="宋体" w:cs="宋体"/>
                <w:spacing w:val="-1"/>
                <w:sz w:val="24"/>
                <w:szCs w:val="24"/>
              </w:rPr>
              <w:t>具有协调</w:t>
            </w:r>
            <w:r>
              <w:rPr>
                <w:rFonts w:hint="eastAsia" w:ascii="宋体" w:hAnsi="宋体" w:eastAsia="宋体" w:cs="宋体"/>
                <w:spacing w:val="-1"/>
                <w:sz w:val="24"/>
                <w:szCs w:val="24"/>
                <w:lang w:val="en-US" w:eastAsia="zh-CN"/>
              </w:rPr>
              <w:t>解决</w:t>
            </w:r>
            <w:r>
              <w:rPr>
                <w:rFonts w:hint="eastAsia" w:ascii="宋体" w:hAnsi="宋体" w:eastAsia="宋体" w:cs="宋体"/>
                <w:spacing w:val="-1"/>
                <w:sz w:val="24"/>
                <w:szCs w:val="24"/>
              </w:rPr>
              <w:t>施工所涉及</w:t>
            </w:r>
            <w:r>
              <w:rPr>
                <w:rFonts w:hint="eastAsia" w:ascii="宋体" w:hAnsi="宋体" w:eastAsia="宋体" w:cs="宋体"/>
                <w:spacing w:val="-1"/>
                <w:sz w:val="24"/>
                <w:szCs w:val="24"/>
                <w:lang w:val="en-US" w:eastAsia="zh-CN"/>
              </w:rPr>
              <w:t>产生的村庄</w:t>
            </w:r>
            <w:r>
              <w:rPr>
                <w:rFonts w:hint="eastAsia" w:ascii="宋体" w:hAnsi="宋体" w:eastAsia="宋体" w:cs="宋体"/>
                <w:spacing w:val="-1"/>
                <w:sz w:val="24"/>
                <w:szCs w:val="24"/>
              </w:rPr>
              <w:t>村民纠纷的能力，并承担</w:t>
            </w:r>
            <w:r>
              <w:rPr>
                <w:rFonts w:hint="eastAsia" w:ascii="宋体" w:hAnsi="宋体" w:eastAsia="宋体" w:cs="宋体"/>
                <w:spacing w:val="-1"/>
                <w:sz w:val="24"/>
                <w:szCs w:val="24"/>
                <w:lang w:val="en-US" w:eastAsia="zh-CN"/>
              </w:rPr>
              <w:t>因</w:t>
            </w:r>
            <w:r>
              <w:rPr>
                <w:rFonts w:hint="eastAsia" w:ascii="宋体" w:hAnsi="宋体" w:eastAsia="宋体" w:cs="宋体"/>
                <w:spacing w:val="-1"/>
                <w:sz w:val="24"/>
                <w:szCs w:val="24"/>
              </w:rPr>
              <w:t>纠纷所产生的</w:t>
            </w:r>
            <w:r>
              <w:rPr>
                <w:rFonts w:hint="eastAsia" w:ascii="宋体" w:hAnsi="宋体" w:eastAsia="宋体" w:cs="宋体"/>
                <w:spacing w:val="-1"/>
                <w:sz w:val="24"/>
                <w:szCs w:val="24"/>
                <w:lang w:val="en-US" w:eastAsia="zh-CN"/>
              </w:rPr>
              <w:t>所有</w:t>
            </w:r>
            <w:r>
              <w:rPr>
                <w:rFonts w:hint="eastAsia" w:ascii="宋体" w:hAnsi="宋体" w:eastAsia="宋体" w:cs="宋体"/>
                <w:spacing w:val="-1"/>
                <w:sz w:val="24"/>
                <w:szCs w:val="24"/>
              </w:rPr>
              <w:t>费用</w:t>
            </w:r>
            <w:r>
              <w:rPr>
                <w:rFonts w:hint="eastAsia" w:ascii="宋体" w:hAnsi="宋体" w:eastAsia="宋体" w:cs="宋体"/>
                <w:spacing w:val="-1"/>
                <w:sz w:val="24"/>
                <w:szCs w:val="24"/>
                <w:lang w:eastAsia="zh-CN"/>
              </w:rPr>
              <w:t>。</w:t>
            </w:r>
          </w:p>
          <w:p w14:paraId="3E4C5838">
            <w:pPr>
              <w:pStyle w:val="14"/>
              <w:keepNext w:val="0"/>
              <w:keepLines w:val="0"/>
              <w:pageBreakBefore w:val="0"/>
              <w:widowControl/>
              <w:kinsoku w:val="0"/>
              <w:wordWrap/>
              <w:overflowPunct/>
              <w:topLinePunct w:val="0"/>
              <w:autoSpaceDE w:val="0"/>
              <w:autoSpaceDN w:val="0"/>
              <w:bidi w:val="0"/>
              <w:adjustRightInd w:val="0"/>
              <w:snapToGrid w:val="0"/>
              <w:spacing w:line="332" w:lineRule="auto"/>
              <w:ind w:left="119" w:right="198" w:firstLine="0"/>
              <w:textAlignment w:val="baseline"/>
              <w:rPr>
                <w:spacing w:val="-3"/>
              </w:rPr>
            </w:pPr>
            <w:r>
              <w:rPr>
                <w:rFonts w:hint="eastAsia" w:ascii="宋体" w:hAnsi="宋体" w:eastAsia="宋体" w:cs="宋体"/>
                <w:snapToGrid w:val="0"/>
                <w:color w:val="000000"/>
                <w:spacing w:val="-1"/>
                <w:kern w:val="0"/>
                <w:sz w:val="24"/>
                <w:szCs w:val="24"/>
                <w:lang w:val="en-US" w:eastAsia="zh-CN" w:bidi="ar-SA"/>
              </w:rPr>
              <w:t>7、</w:t>
            </w:r>
            <w:r>
              <w:rPr>
                <w:rFonts w:hint="eastAsia" w:ascii="宋体" w:hAnsi="宋体" w:eastAsia="宋体" w:cs="宋体"/>
                <w:snapToGrid w:val="0"/>
                <w:color w:val="000000"/>
                <w:spacing w:val="-1"/>
                <w:kern w:val="0"/>
                <w:sz w:val="24"/>
                <w:szCs w:val="24"/>
                <w:highlight w:val="yellow"/>
                <w:lang w:val="en-US" w:eastAsia="zh-CN" w:bidi="ar-SA"/>
              </w:rPr>
              <w:t>以上6项必须同时满足，</w:t>
            </w:r>
            <w:r>
              <w:rPr>
                <w:rFonts w:hint="eastAsia" w:ascii="宋体" w:hAnsi="宋体" w:eastAsia="宋体" w:cs="宋体"/>
                <w:snapToGrid w:val="0"/>
                <w:color w:val="000000"/>
                <w:spacing w:val="-1"/>
                <w:kern w:val="0"/>
                <w:sz w:val="24"/>
                <w:szCs w:val="24"/>
                <w:lang w:val="en-US" w:eastAsia="en-US" w:bidi="ar-SA"/>
              </w:rPr>
              <w:t>如有单位资料造假，一经发现，立即在网上公示，并永久取消</w:t>
            </w:r>
            <w:r>
              <w:rPr>
                <w:rFonts w:hint="eastAsia" w:ascii="宋体" w:hAnsi="宋体" w:eastAsia="宋体" w:cs="宋体"/>
                <w:snapToGrid w:val="0"/>
                <w:color w:val="000000"/>
                <w:spacing w:val="-1"/>
                <w:kern w:val="0"/>
                <w:sz w:val="24"/>
                <w:szCs w:val="24"/>
                <w:lang w:val="en-US" w:eastAsia="zh-CN" w:bidi="ar-SA"/>
              </w:rPr>
              <w:t>其</w:t>
            </w:r>
            <w:r>
              <w:rPr>
                <w:rFonts w:hint="eastAsia" w:ascii="宋体" w:hAnsi="宋体" w:eastAsia="宋体" w:cs="宋体"/>
                <w:snapToGrid w:val="0"/>
                <w:color w:val="000000"/>
                <w:spacing w:val="-1"/>
                <w:kern w:val="0"/>
                <w:sz w:val="24"/>
                <w:szCs w:val="24"/>
                <w:lang w:val="en-US" w:eastAsia="en-US" w:bidi="ar-SA"/>
              </w:rPr>
              <w:t>资格</w:t>
            </w:r>
          </w:p>
        </w:tc>
      </w:tr>
      <w:tr w14:paraId="38093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2" w:type="dxa"/>
            <w:vAlign w:val="top"/>
          </w:tcPr>
          <w:p w14:paraId="4A5EBF1A">
            <w:pPr>
              <w:pStyle w:val="14"/>
              <w:spacing w:before="234" w:line="184" w:lineRule="auto"/>
              <w:ind w:left="206"/>
            </w:pPr>
            <w:r>
              <w:rPr>
                <w:spacing w:val="-6"/>
              </w:rPr>
              <w:t>1.4.2</w:t>
            </w:r>
          </w:p>
        </w:tc>
        <w:tc>
          <w:tcPr>
            <w:tcW w:w="1659" w:type="dxa"/>
            <w:vAlign w:val="top"/>
          </w:tcPr>
          <w:p w14:paraId="4AF113CE">
            <w:pPr>
              <w:pStyle w:val="14"/>
              <w:spacing w:before="41" w:line="222" w:lineRule="auto"/>
              <w:ind w:left="715" w:right="108" w:hanging="596"/>
            </w:pPr>
            <w:r>
              <w:rPr>
                <w:spacing w:val="-3"/>
              </w:rPr>
              <w:t>是否接受联合</w:t>
            </w:r>
            <w:r>
              <w:rPr>
                <w:spacing w:val="3"/>
              </w:rPr>
              <w:t xml:space="preserve"> </w:t>
            </w:r>
            <w:r>
              <w:t>体</w:t>
            </w:r>
          </w:p>
        </w:tc>
        <w:tc>
          <w:tcPr>
            <w:tcW w:w="7152" w:type="dxa"/>
            <w:vAlign w:val="top"/>
          </w:tcPr>
          <w:p w14:paraId="1400868C">
            <w:pPr>
              <w:pStyle w:val="14"/>
              <w:spacing w:before="214" w:line="221" w:lineRule="auto"/>
              <w:ind w:left="118"/>
              <w:rPr>
                <w:rFonts w:hint="eastAsia" w:eastAsia="宋体"/>
                <w:lang w:val="en-US" w:eastAsia="zh-CN"/>
              </w:rPr>
            </w:pPr>
            <w:r>
              <w:rPr>
                <w:spacing w:val="-5"/>
              </w:rPr>
              <w:t>不</w:t>
            </w:r>
            <w:r>
              <w:rPr>
                <w:rFonts w:hint="eastAsia"/>
                <w:spacing w:val="-5"/>
                <w:lang w:val="en-US" w:eastAsia="zh-CN"/>
              </w:rPr>
              <w:t>接受</w:t>
            </w:r>
          </w:p>
        </w:tc>
      </w:tr>
      <w:tr w14:paraId="017CB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2" w:type="dxa"/>
            <w:vAlign w:val="top"/>
          </w:tcPr>
          <w:p w14:paraId="3B69945B">
            <w:pPr>
              <w:pStyle w:val="14"/>
              <w:spacing w:before="234" w:line="184" w:lineRule="auto"/>
              <w:ind w:left="326"/>
            </w:pPr>
            <w:r>
              <w:rPr>
                <w:spacing w:val="-10"/>
              </w:rPr>
              <w:t>1.9</w:t>
            </w:r>
          </w:p>
        </w:tc>
        <w:tc>
          <w:tcPr>
            <w:tcW w:w="1659" w:type="dxa"/>
            <w:vAlign w:val="top"/>
          </w:tcPr>
          <w:p w14:paraId="550DE54E">
            <w:pPr>
              <w:pStyle w:val="14"/>
              <w:spacing w:before="41" w:line="222" w:lineRule="auto"/>
              <w:ind w:left="596" w:right="108" w:hanging="477"/>
            </w:pPr>
            <w:r>
              <w:rPr>
                <w:spacing w:val="-3"/>
              </w:rPr>
              <w:t>是否组织现场</w:t>
            </w:r>
            <w:r>
              <w:rPr>
                <w:spacing w:val="3"/>
              </w:rPr>
              <w:t xml:space="preserve"> </w:t>
            </w:r>
            <w:r>
              <w:rPr>
                <w:spacing w:val="-6"/>
              </w:rPr>
              <w:t>踏勘</w:t>
            </w:r>
          </w:p>
        </w:tc>
        <w:tc>
          <w:tcPr>
            <w:tcW w:w="7152" w:type="dxa"/>
            <w:vAlign w:val="top"/>
          </w:tcPr>
          <w:p w14:paraId="78988212">
            <w:pPr>
              <w:pStyle w:val="14"/>
              <w:spacing w:before="214" w:line="219" w:lineRule="auto"/>
              <w:ind w:left="118"/>
            </w:pPr>
            <w:r>
              <w:rPr>
                <w:spacing w:val="-2"/>
              </w:rPr>
              <w:t>不统一组织现场踏勘</w:t>
            </w:r>
          </w:p>
        </w:tc>
      </w:tr>
      <w:tr w14:paraId="23E3B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62" w:type="dxa"/>
            <w:vAlign w:val="top"/>
          </w:tcPr>
          <w:p w14:paraId="3408F1FC">
            <w:pPr>
              <w:pStyle w:val="14"/>
              <w:spacing w:before="92" w:line="184" w:lineRule="auto"/>
              <w:ind w:left="266"/>
            </w:pPr>
            <w:r>
              <w:rPr>
                <w:spacing w:val="-7"/>
              </w:rPr>
              <w:t>1.10</w:t>
            </w:r>
          </w:p>
        </w:tc>
        <w:tc>
          <w:tcPr>
            <w:tcW w:w="1659" w:type="dxa"/>
            <w:vAlign w:val="top"/>
          </w:tcPr>
          <w:p w14:paraId="3DC99FB6">
            <w:pPr>
              <w:pStyle w:val="14"/>
              <w:spacing w:before="56" w:line="216" w:lineRule="auto"/>
              <w:ind w:left="234"/>
            </w:pPr>
            <w:r>
              <w:rPr>
                <w:spacing w:val="-2"/>
              </w:rPr>
              <w:t>谈判预备会</w:t>
            </w:r>
          </w:p>
        </w:tc>
        <w:tc>
          <w:tcPr>
            <w:tcW w:w="7152" w:type="dxa"/>
            <w:vAlign w:val="top"/>
          </w:tcPr>
          <w:p w14:paraId="49246CB2">
            <w:pPr>
              <w:pStyle w:val="14"/>
              <w:spacing w:before="71" w:line="204" w:lineRule="auto"/>
              <w:ind w:left="118"/>
            </w:pPr>
            <w:r>
              <w:rPr>
                <w:spacing w:val="-5"/>
              </w:rPr>
              <w:t>不召开</w:t>
            </w:r>
          </w:p>
        </w:tc>
      </w:tr>
    </w:tbl>
    <w:p w14:paraId="48E4AAA6">
      <w:pPr>
        <w:pStyle w:val="7"/>
      </w:pPr>
    </w:p>
    <w:tbl>
      <w:tblPr>
        <w:tblStyle w:val="13"/>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2"/>
      </w:tblGrid>
      <w:tr w14:paraId="0CCDF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962" w:type="dxa"/>
            <w:vAlign w:val="top"/>
          </w:tcPr>
          <w:p w14:paraId="50D44EFE">
            <w:pPr>
              <w:spacing w:line="278" w:lineRule="auto"/>
              <w:rPr>
                <w:rFonts w:ascii="Arial"/>
                <w:sz w:val="21"/>
              </w:rPr>
            </w:pPr>
          </w:p>
          <w:p w14:paraId="746F09C8">
            <w:pPr>
              <w:spacing w:line="278" w:lineRule="auto"/>
              <w:rPr>
                <w:rFonts w:ascii="Arial"/>
                <w:sz w:val="21"/>
              </w:rPr>
            </w:pPr>
          </w:p>
          <w:p w14:paraId="3EEAB338">
            <w:pPr>
              <w:pStyle w:val="14"/>
              <w:spacing w:before="78" w:line="184" w:lineRule="auto"/>
              <w:ind w:left="192"/>
            </w:pPr>
            <w:r>
              <w:rPr>
                <w:spacing w:val="-3"/>
              </w:rPr>
              <w:t>2.1.1</w:t>
            </w:r>
          </w:p>
        </w:tc>
        <w:tc>
          <w:tcPr>
            <w:tcW w:w="1659" w:type="dxa"/>
            <w:vAlign w:val="top"/>
          </w:tcPr>
          <w:p w14:paraId="12A99141">
            <w:pPr>
              <w:spacing w:line="363" w:lineRule="auto"/>
              <w:rPr>
                <w:rFonts w:ascii="Arial"/>
                <w:sz w:val="21"/>
              </w:rPr>
            </w:pPr>
          </w:p>
          <w:p w14:paraId="79CD024B">
            <w:pPr>
              <w:pStyle w:val="14"/>
              <w:spacing w:before="78" w:line="263" w:lineRule="auto"/>
              <w:ind w:left="714" w:right="108" w:hanging="600"/>
            </w:pPr>
            <w:r>
              <w:rPr>
                <w:spacing w:val="-2"/>
              </w:rPr>
              <w:t>谈判文件的发</w:t>
            </w:r>
            <w:r>
              <w:rPr>
                <w:spacing w:val="2"/>
              </w:rPr>
              <w:t xml:space="preserve"> </w:t>
            </w:r>
            <w:r>
              <w:t>布</w:t>
            </w:r>
          </w:p>
        </w:tc>
        <w:tc>
          <w:tcPr>
            <w:tcW w:w="7152" w:type="dxa"/>
            <w:vAlign w:val="top"/>
          </w:tcPr>
          <w:p w14:paraId="0810F0B4">
            <w:pPr>
              <w:pStyle w:val="14"/>
              <w:spacing w:before="107" w:line="210" w:lineRule="auto"/>
              <w:ind w:left="115"/>
            </w:pPr>
            <w:r>
              <w:rPr>
                <w:spacing w:val="-1"/>
              </w:rPr>
              <w:t>本谈判文件在济钢集团有限公司阳光购销平台（网址：</w:t>
            </w:r>
          </w:p>
          <w:p w14:paraId="48D4AA92">
            <w:pPr>
              <w:pStyle w:val="14"/>
              <w:spacing w:before="66" w:line="252" w:lineRule="auto"/>
              <w:ind w:left="113" w:right="108" w:hanging="2"/>
              <w:jc w:val="both"/>
            </w:pPr>
            <w:r>
              <w:fldChar w:fldCharType="begin"/>
            </w:r>
            <w:r>
              <w:instrText xml:space="preserve"> HYPERLINK "http://bidding.jigang.com.cn" </w:instrText>
            </w:r>
            <w:r>
              <w:fldChar w:fldCharType="separate"/>
            </w:r>
            <w:r>
              <w:rPr>
                <w:spacing w:val="-1"/>
              </w:rPr>
              <w:t>http://bidding.jigang.com.cn</w:t>
            </w:r>
            <w:r>
              <w:rPr>
                <w:spacing w:val="-1"/>
              </w:rPr>
              <w:fldChar w:fldCharType="end"/>
            </w:r>
            <w:r>
              <w:rPr>
                <w:spacing w:val="-1"/>
              </w:rPr>
              <w:t>/） 上发布。除上述媒介以外的媒</w:t>
            </w:r>
            <w:r>
              <w:rPr>
                <w:spacing w:val="10"/>
              </w:rPr>
              <w:t xml:space="preserve"> </w:t>
            </w:r>
            <w:r>
              <w:rPr>
                <w:spacing w:val="-1"/>
              </w:rPr>
              <w:t>介转载或发布与本次谈判相关信息的，采购人不</w:t>
            </w:r>
            <w:r>
              <w:rPr>
                <w:spacing w:val="-2"/>
              </w:rPr>
              <w:t>承担任何责任并保</w:t>
            </w:r>
            <w:r>
              <w:t xml:space="preserve"> </w:t>
            </w:r>
            <w:r>
              <w:rPr>
                <w:spacing w:val="-1"/>
              </w:rPr>
              <w:t>留追究相关方责任的权利。</w:t>
            </w:r>
          </w:p>
        </w:tc>
      </w:tr>
      <w:tr w14:paraId="78392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962" w:type="dxa"/>
            <w:vAlign w:val="top"/>
          </w:tcPr>
          <w:p w14:paraId="0E1197E1">
            <w:pPr>
              <w:spacing w:line="282" w:lineRule="auto"/>
              <w:rPr>
                <w:rFonts w:ascii="Arial"/>
                <w:sz w:val="21"/>
              </w:rPr>
            </w:pPr>
          </w:p>
          <w:p w14:paraId="29A379F1">
            <w:pPr>
              <w:pStyle w:val="14"/>
              <w:spacing w:before="78" w:line="183" w:lineRule="auto"/>
              <w:ind w:left="192"/>
            </w:pPr>
            <w:r>
              <w:rPr>
                <w:spacing w:val="-3"/>
              </w:rPr>
              <w:t>2.2.2</w:t>
            </w:r>
          </w:p>
        </w:tc>
        <w:tc>
          <w:tcPr>
            <w:tcW w:w="1659" w:type="dxa"/>
            <w:vAlign w:val="top"/>
          </w:tcPr>
          <w:p w14:paraId="4C40BBBD">
            <w:pPr>
              <w:pStyle w:val="14"/>
              <w:spacing w:before="148" w:line="281" w:lineRule="auto"/>
              <w:ind w:left="714" w:right="108" w:hanging="600"/>
            </w:pPr>
            <w:r>
              <w:rPr>
                <w:spacing w:val="-2"/>
              </w:rPr>
              <w:t>谈判文件的澄</w:t>
            </w:r>
            <w:r>
              <w:rPr>
                <w:spacing w:val="2"/>
              </w:rPr>
              <w:t xml:space="preserve"> </w:t>
            </w:r>
            <w:r>
              <w:t>清</w:t>
            </w:r>
          </w:p>
        </w:tc>
        <w:tc>
          <w:tcPr>
            <w:tcW w:w="7152" w:type="dxa"/>
            <w:vAlign w:val="top"/>
          </w:tcPr>
          <w:p w14:paraId="5E4FE6EF">
            <w:pPr>
              <w:pStyle w:val="14"/>
              <w:spacing w:before="158" w:line="277" w:lineRule="auto"/>
              <w:ind w:left="131" w:right="108" w:hanging="18"/>
            </w:pPr>
            <w:r>
              <w:rPr>
                <w:spacing w:val="-4"/>
              </w:rPr>
              <w:t>谈判文件澄清的截止时间为谈判开始前</w:t>
            </w:r>
            <w:r>
              <w:rPr>
                <w:spacing w:val="-36"/>
              </w:rPr>
              <w:t xml:space="preserve"> </w:t>
            </w:r>
            <w:r>
              <w:rPr>
                <w:rFonts w:hint="eastAsia"/>
                <w:spacing w:val="-4"/>
                <w:lang w:val="en-US" w:eastAsia="zh-CN"/>
              </w:rPr>
              <w:t>1</w:t>
            </w:r>
            <w:r>
              <w:rPr>
                <w:spacing w:val="-4"/>
              </w:rPr>
              <w:t>日，在济钢集团有限公司</w:t>
            </w:r>
            <w:r>
              <w:t xml:space="preserve"> </w:t>
            </w:r>
            <w:r>
              <w:rPr>
                <w:spacing w:val="-1"/>
              </w:rPr>
              <w:t>阳光购销平台（网址：</w:t>
            </w:r>
            <w:r>
              <w:fldChar w:fldCharType="begin"/>
            </w:r>
            <w:r>
              <w:instrText xml:space="preserve"> HYPERLINK "http://bidding.jigang.com.cn" </w:instrText>
            </w:r>
            <w:r>
              <w:fldChar w:fldCharType="separate"/>
            </w:r>
            <w:r>
              <w:rPr>
                <w:spacing w:val="-1"/>
              </w:rPr>
              <w:t>http://bidding.jigang.c</w:t>
            </w:r>
            <w:r>
              <w:rPr>
                <w:spacing w:val="-2"/>
              </w:rPr>
              <w:t>om.cn</w:t>
            </w:r>
            <w:r>
              <w:rPr>
                <w:spacing w:val="-2"/>
              </w:rPr>
              <w:fldChar w:fldCharType="end"/>
            </w:r>
            <w:r>
              <w:rPr>
                <w:spacing w:val="-2"/>
              </w:rPr>
              <w:t>/） 上发布</w:t>
            </w:r>
          </w:p>
        </w:tc>
      </w:tr>
      <w:tr w14:paraId="7D5E3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6" w:hRule="atLeast"/>
        </w:trPr>
        <w:tc>
          <w:tcPr>
            <w:tcW w:w="962" w:type="dxa"/>
            <w:vAlign w:val="top"/>
          </w:tcPr>
          <w:p w14:paraId="74E303AE">
            <w:pPr>
              <w:spacing w:line="316" w:lineRule="auto"/>
              <w:rPr>
                <w:rFonts w:ascii="Arial"/>
                <w:sz w:val="21"/>
              </w:rPr>
            </w:pPr>
          </w:p>
          <w:p w14:paraId="2EA39308">
            <w:pPr>
              <w:spacing w:line="317" w:lineRule="auto"/>
              <w:rPr>
                <w:rFonts w:ascii="Arial"/>
                <w:sz w:val="21"/>
              </w:rPr>
            </w:pPr>
          </w:p>
          <w:p w14:paraId="1FE9ED1E">
            <w:pPr>
              <w:pStyle w:val="14"/>
              <w:spacing w:before="78" w:line="183" w:lineRule="auto"/>
              <w:ind w:left="312"/>
            </w:pPr>
            <w:r>
              <w:rPr>
                <w:spacing w:val="-5"/>
              </w:rPr>
              <w:t>2.3</w:t>
            </w:r>
          </w:p>
        </w:tc>
        <w:tc>
          <w:tcPr>
            <w:tcW w:w="1659" w:type="dxa"/>
            <w:vAlign w:val="top"/>
          </w:tcPr>
          <w:p w14:paraId="3573ABA1">
            <w:pPr>
              <w:spacing w:line="437" w:lineRule="auto"/>
              <w:rPr>
                <w:rFonts w:ascii="Arial"/>
                <w:sz w:val="21"/>
              </w:rPr>
            </w:pPr>
          </w:p>
          <w:p w14:paraId="24192919">
            <w:pPr>
              <w:pStyle w:val="14"/>
              <w:spacing w:before="78" w:line="264" w:lineRule="auto"/>
              <w:ind w:left="723" w:right="108" w:hanging="609"/>
            </w:pPr>
            <w:r>
              <w:rPr>
                <w:spacing w:val="-2"/>
              </w:rPr>
              <w:t>谈判文件的修</w:t>
            </w:r>
            <w:r>
              <w:rPr>
                <w:spacing w:val="2"/>
              </w:rPr>
              <w:t xml:space="preserve"> </w:t>
            </w:r>
            <w:r>
              <w:t>改</w:t>
            </w:r>
          </w:p>
        </w:tc>
        <w:tc>
          <w:tcPr>
            <w:tcW w:w="7152" w:type="dxa"/>
            <w:vAlign w:val="top"/>
          </w:tcPr>
          <w:p w14:paraId="49792E97">
            <w:pPr>
              <w:pStyle w:val="14"/>
              <w:spacing w:before="114" w:line="283" w:lineRule="auto"/>
              <w:ind w:left="113" w:right="27"/>
              <w:jc w:val="both"/>
            </w:pPr>
            <w:r>
              <w:rPr>
                <w:spacing w:val="-4"/>
              </w:rPr>
              <w:t>谈判文件修改的截止时间为谈判开始前</w:t>
            </w:r>
            <w:r>
              <w:rPr>
                <w:rFonts w:hint="eastAsia"/>
                <w:spacing w:val="-36"/>
                <w:lang w:val="en-US" w:eastAsia="zh-CN"/>
              </w:rPr>
              <w:t>1</w:t>
            </w:r>
            <w:r>
              <w:rPr>
                <w:spacing w:val="-4"/>
              </w:rPr>
              <w:t xml:space="preserve"> 日，在济钢集团有限公司</w:t>
            </w:r>
            <w:r>
              <w:t xml:space="preserve"> </w:t>
            </w:r>
            <w:r>
              <w:rPr>
                <w:spacing w:val="-4"/>
              </w:rPr>
              <w:t>阳光购销平台（网址：</w:t>
            </w:r>
            <w:r>
              <w:fldChar w:fldCharType="begin"/>
            </w:r>
            <w:r>
              <w:instrText xml:space="preserve"> HYPERLINK "http://bidding.jigang.com.cn" </w:instrText>
            </w:r>
            <w:r>
              <w:fldChar w:fldCharType="separate"/>
            </w:r>
            <w:r>
              <w:rPr>
                <w:spacing w:val="-4"/>
              </w:rPr>
              <w:t>http://bidding.jigang.com.cn</w:t>
            </w:r>
            <w:r>
              <w:rPr>
                <w:spacing w:val="-4"/>
              </w:rPr>
              <w:fldChar w:fldCharType="end"/>
            </w:r>
            <w:r>
              <w:rPr>
                <w:spacing w:val="-4"/>
              </w:rPr>
              <w:t>/）</w:t>
            </w:r>
            <w:r>
              <w:rPr>
                <w:spacing w:val="-20"/>
              </w:rPr>
              <w:t xml:space="preserve"> </w:t>
            </w:r>
            <w:r>
              <w:rPr>
                <w:spacing w:val="-4"/>
              </w:rPr>
              <w:t>上发布。</w:t>
            </w:r>
            <w:r>
              <w:t xml:space="preserve"> </w:t>
            </w:r>
            <w:r>
              <w:rPr>
                <w:spacing w:val="-3"/>
              </w:rPr>
              <w:t>采购人对谈判文件修改距谈判时间不足</w:t>
            </w:r>
            <w:r>
              <w:rPr>
                <w:spacing w:val="-23"/>
              </w:rPr>
              <w:t xml:space="preserve"> </w:t>
            </w:r>
            <w:r>
              <w:rPr>
                <w:spacing w:val="-3"/>
              </w:rPr>
              <w:t>1</w:t>
            </w:r>
            <w:r>
              <w:rPr>
                <w:spacing w:val="-46"/>
              </w:rPr>
              <w:t xml:space="preserve"> </w:t>
            </w:r>
            <w:r>
              <w:rPr>
                <w:spacing w:val="-3"/>
              </w:rPr>
              <w:t>天的，相应延长谈判开始</w:t>
            </w:r>
            <w:r>
              <w:t xml:space="preserve"> </w:t>
            </w:r>
            <w:r>
              <w:rPr>
                <w:spacing w:val="-3"/>
              </w:rPr>
              <w:t>时间。</w:t>
            </w:r>
          </w:p>
        </w:tc>
      </w:tr>
      <w:tr w14:paraId="7D798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53DA131D">
            <w:pPr>
              <w:pStyle w:val="14"/>
              <w:spacing w:before="279" w:line="184" w:lineRule="auto"/>
              <w:ind w:left="192"/>
            </w:pPr>
            <w:r>
              <w:rPr>
                <w:spacing w:val="-3"/>
              </w:rPr>
              <w:t>2.1.5</w:t>
            </w:r>
          </w:p>
        </w:tc>
        <w:tc>
          <w:tcPr>
            <w:tcW w:w="1659" w:type="dxa"/>
            <w:vAlign w:val="top"/>
          </w:tcPr>
          <w:p w14:paraId="50DABE57">
            <w:pPr>
              <w:pStyle w:val="14"/>
              <w:spacing w:before="85" w:line="242" w:lineRule="auto"/>
              <w:ind w:left="131" w:right="110" w:hanging="16"/>
            </w:pPr>
            <w:r>
              <w:rPr>
                <w:spacing w:val="-3"/>
              </w:rPr>
              <w:t>构成谈判文件</w:t>
            </w:r>
            <w:r>
              <w:rPr>
                <w:spacing w:val="4"/>
              </w:rPr>
              <w:t xml:space="preserve"> </w:t>
            </w:r>
            <w:r>
              <w:rPr>
                <w:spacing w:val="-6"/>
              </w:rPr>
              <w:t>的其他材料</w:t>
            </w:r>
          </w:p>
        </w:tc>
        <w:tc>
          <w:tcPr>
            <w:tcW w:w="7152" w:type="dxa"/>
            <w:vAlign w:val="top"/>
          </w:tcPr>
          <w:p w14:paraId="48EF8A6B">
            <w:pPr>
              <w:pStyle w:val="14"/>
              <w:spacing w:before="258" w:line="219" w:lineRule="auto"/>
              <w:ind w:left="113"/>
            </w:pPr>
            <w:r>
              <w:rPr>
                <w:spacing w:val="-1"/>
              </w:rPr>
              <w:t>谈判文件澄清、答疑、补充文件等</w:t>
            </w:r>
          </w:p>
        </w:tc>
      </w:tr>
      <w:tr w14:paraId="6DBB9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4F067794">
            <w:pPr>
              <w:pStyle w:val="14"/>
              <w:spacing w:before="99" w:line="184" w:lineRule="auto"/>
              <w:ind w:left="193"/>
            </w:pPr>
            <w:r>
              <w:rPr>
                <w:spacing w:val="-3"/>
              </w:rPr>
              <w:t>3.1.1</w:t>
            </w:r>
          </w:p>
        </w:tc>
        <w:tc>
          <w:tcPr>
            <w:tcW w:w="1659" w:type="dxa"/>
            <w:vAlign w:val="top"/>
          </w:tcPr>
          <w:p w14:paraId="16B74F34">
            <w:pPr>
              <w:pStyle w:val="14"/>
              <w:spacing w:before="84" w:line="208" w:lineRule="auto"/>
              <w:ind w:left="127"/>
            </w:pPr>
            <w:r>
              <w:rPr>
                <w:spacing w:val="-4"/>
              </w:rPr>
              <w:t>响应文件内容</w:t>
            </w:r>
          </w:p>
        </w:tc>
        <w:tc>
          <w:tcPr>
            <w:tcW w:w="7152" w:type="dxa"/>
            <w:vAlign w:val="top"/>
          </w:tcPr>
          <w:p w14:paraId="40F9D3CF">
            <w:pPr>
              <w:pStyle w:val="14"/>
              <w:spacing w:before="79" w:line="212" w:lineRule="auto"/>
              <w:ind w:left="113"/>
            </w:pPr>
            <w:r>
              <w:rPr>
                <w:spacing w:val="-1"/>
              </w:rPr>
              <w:t>谈判文件商务、技术部分内容</w:t>
            </w:r>
          </w:p>
        </w:tc>
      </w:tr>
      <w:tr w14:paraId="09D33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962" w:type="dxa"/>
            <w:vAlign w:val="top"/>
          </w:tcPr>
          <w:p w14:paraId="7EE683FB">
            <w:pPr>
              <w:spacing w:line="350" w:lineRule="auto"/>
              <w:rPr>
                <w:rFonts w:ascii="Arial"/>
                <w:sz w:val="21"/>
              </w:rPr>
            </w:pPr>
          </w:p>
          <w:p w14:paraId="118FC1D7">
            <w:pPr>
              <w:pStyle w:val="14"/>
              <w:spacing w:before="78" w:line="184" w:lineRule="auto"/>
              <w:ind w:left="193"/>
            </w:pPr>
            <w:r>
              <w:rPr>
                <w:spacing w:val="-3"/>
              </w:rPr>
              <w:t>3.2.1</w:t>
            </w:r>
          </w:p>
        </w:tc>
        <w:tc>
          <w:tcPr>
            <w:tcW w:w="1659" w:type="dxa"/>
            <w:vAlign w:val="top"/>
          </w:tcPr>
          <w:p w14:paraId="0DF90584">
            <w:pPr>
              <w:spacing w:line="335" w:lineRule="auto"/>
              <w:rPr>
                <w:rFonts w:ascii="Arial"/>
                <w:sz w:val="21"/>
              </w:rPr>
            </w:pPr>
          </w:p>
          <w:p w14:paraId="5CA069CC">
            <w:pPr>
              <w:pStyle w:val="14"/>
              <w:spacing w:before="78" w:line="218" w:lineRule="auto"/>
              <w:ind w:left="593"/>
            </w:pPr>
            <w:r>
              <w:rPr>
                <w:spacing w:val="-4"/>
              </w:rPr>
              <w:t>报价</w:t>
            </w:r>
          </w:p>
        </w:tc>
        <w:tc>
          <w:tcPr>
            <w:tcW w:w="7152" w:type="dxa"/>
            <w:vAlign w:val="top"/>
          </w:tcPr>
          <w:p w14:paraId="072630CD">
            <w:pPr>
              <w:pStyle w:val="14"/>
              <w:keepNext w:val="0"/>
              <w:keepLines w:val="0"/>
              <w:pageBreakBefore w:val="0"/>
              <w:widowControl/>
              <w:numPr>
                <w:ilvl w:val="0"/>
                <w:numId w:val="2"/>
              </w:numPr>
              <w:kinsoku w:val="0"/>
              <w:wordWrap/>
              <w:overflowPunct/>
              <w:topLinePunct w:val="0"/>
              <w:autoSpaceDE w:val="0"/>
              <w:autoSpaceDN w:val="0"/>
              <w:bidi w:val="0"/>
              <w:adjustRightInd w:val="0"/>
              <w:snapToGrid w:val="0"/>
              <w:spacing w:before="70" w:line="245" w:lineRule="auto"/>
              <w:ind w:left="119" w:right="0" w:firstLine="11"/>
              <w:jc w:val="both"/>
              <w:textAlignment w:val="baseline"/>
              <w:rPr>
                <w:spacing w:val="12"/>
              </w:rPr>
            </w:pPr>
            <w:r>
              <w:rPr>
                <w:spacing w:val="-5"/>
              </w:rPr>
              <w:t>报价方式：</w:t>
            </w:r>
            <w:r>
              <w:rPr>
                <w:rFonts w:hint="eastAsia"/>
                <w:spacing w:val="-5"/>
                <w:lang w:val="en-US" w:eastAsia="zh-CN"/>
              </w:rPr>
              <w:t>综合单价包干</w:t>
            </w:r>
            <w:r>
              <w:rPr>
                <w:spacing w:val="-5"/>
              </w:rPr>
              <w:t>。</w:t>
            </w:r>
            <w:r>
              <w:rPr>
                <w:spacing w:val="12"/>
              </w:rPr>
              <w:t xml:space="preserve"> </w:t>
            </w:r>
          </w:p>
          <w:p w14:paraId="2072DCAF">
            <w:pPr>
              <w:pStyle w:val="14"/>
              <w:numPr>
                <w:ilvl w:val="0"/>
                <w:numId w:val="0"/>
              </w:numPr>
              <w:spacing w:before="70" w:line="246" w:lineRule="auto"/>
              <w:ind w:left="131" w:leftChars="0" w:right="3481" w:rightChars="0"/>
            </w:pPr>
            <w:r>
              <w:rPr>
                <w:spacing w:val="-2"/>
              </w:rPr>
              <w:t>2.报价币种：人民币。</w:t>
            </w:r>
          </w:p>
          <w:p w14:paraId="3F8A0BE3">
            <w:pPr>
              <w:pStyle w:val="14"/>
              <w:spacing w:before="38" w:line="204" w:lineRule="auto"/>
              <w:ind w:left="119"/>
              <w:rPr>
                <w:rFonts w:hint="eastAsia" w:eastAsia="宋体"/>
                <w:lang w:eastAsia="zh-CN"/>
              </w:rPr>
            </w:pPr>
            <w:r>
              <w:rPr>
                <w:spacing w:val="-2"/>
              </w:rPr>
              <w:t>3.报价为</w:t>
            </w:r>
            <w:r>
              <w:rPr>
                <w:rFonts w:hint="eastAsia"/>
                <w:spacing w:val="-2"/>
                <w:lang w:val="en-US" w:eastAsia="zh-CN"/>
              </w:rPr>
              <w:t>含</w:t>
            </w:r>
            <w:r>
              <w:rPr>
                <w:spacing w:val="-2"/>
              </w:rPr>
              <w:t>增值税专用发票价格</w:t>
            </w:r>
            <w:r>
              <w:rPr>
                <w:rFonts w:hint="eastAsia"/>
                <w:spacing w:val="-2"/>
                <w:lang w:eastAsia="zh-CN"/>
              </w:rPr>
              <w:t>。</w:t>
            </w:r>
          </w:p>
        </w:tc>
      </w:tr>
      <w:tr w14:paraId="10F6A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649A9ED0">
            <w:pPr>
              <w:pStyle w:val="14"/>
              <w:spacing w:before="101" w:line="183" w:lineRule="auto"/>
              <w:ind w:left="193"/>
            </w:pPr>
            <w:r>
              <w:rPr>
                <w:spacing w:val="-3"/>
              </w:rPr>
              <w:t>3.2.2</w:t>
            </w:r>
          </w:p>
        </w:tc>
        <w:tc>
          <w:tcPr>
            <w:tcW w:w="1659" w:type="dxa"/>
            <w:vAlign w:val="top"/>
          </w:tcPr>
          <w:p w14:paraId="375E4A17">
            <w:pPr>
              <w:pStyle w:val="14"/>
              <w:spacing w:before="84" w:line="208" w:lineRule="auto"/>
              <w:ind w:left="353"/>
            </w:pPr>
            <w:r>
              <w:rPr>
                <w:spacing w:val="-2"/>
              </w:rPr>
              <w:t>报价修改</w:t>
            </w:r>
          </w:p>
        </w:tc>
        <w:tc>
          <w:tcPr>
            <w:tcW w:w="7152" w:type="dxa"/>
            <w:vAlign w:val="top"/>
          </w:tcPr>
          <w:p w14:paraId="44CF2448">
            <w:pPr>
              <w:pStyle w:val="14"/>
              <w:spacing w:before="79" w:line="212" w:lineRule="auto"/>
              <w:ind w:left="117"/>
            </w:pPr>
            <w:r>
              <w:rPr>
                <w:spacing w:val="-3"/>
              </w:rPr>
              <w:t>详见谈判须知正文</w:t>
            </w:r>
            <w:r>
              <w:rPr>
                <w:spacing w:val="-35"/>
              </w:rPr>
              <w:t xml:space="preserve"> </w:t>
            </w:r>
            <w:r>
              <w:rPr>
                <w:spacing w:val="-3"/>
              </w:rPr>
              <w:t>3.2.2</w:t>
            </w:r>
            <w:r>
              <w:rPr>
                <w:spacing w:val="-51"/>
              </w:rPr>
              <w:t xml:space="preserve"> </w:t>
            </w:r>
            <w:r>
              <w:rPr>
                <w:spacing w:val="-3"/>
              </w:rPr>
              <w:t>节内容</w:t>
            </w:r>
          </w:p>
        </w:tc>
      </w:tr>
      <w:tr w14:paraId="19D76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962" w:type="dxa"/>
            <w:vAlign w:val="top"/>
          </w:tcPr>
          <w:p w14:paraId="64AB2143">
            <w:pPr>
              <w:pStyle w:val="14"/>
              <w:spacing w:before="99" w:line="184" w:lineRule="auto"/>
              <w:ind w:left="193"/>
            </w:pPr>
            <w:r>
              <w:rPr>
                <w:spacing w:val="-3"/>
              </w:rPr>
              <w:t>3.3.1</w:t>
            </w:r>
          </w:p>
        </w:tc>
        <w:tc>
          <w:tcPr>
            <w:tcW w:w="1659" w:type="dxa"/>
            <w:vAlign w:val="top"/>
          </w:tcPr>
          <w:p w14:paraId="6C271C77">
            <w:pPr>
              <w:pStyle w:val="14"/>
              <w:spacing w:before="87" w:line="206" w:lineRule="auto"/>
              <w:ind w:left="234"/>
            </w:pPr>
            <w:r>
              <w:rPr>
                <w:spacing w:val="-2"/>
              </w:rPr>
              <w:t>谈判有效期</w:t>
            </w:r>
          </w:p>
        </w:tc>
        <w:tc>
          <w:tcPr>
            <w:tcW w:w="7152" w:type="dxa"/>
            <w:vAlign w:val="top"/>
          </w:tcPr>
          <w:p w14:paraId="75914BE1">
            <w:pPr>
              <w:pStyle w:val="14"/>
              <w:spacing w:before="79" w:line="212" w:lineRule="auto"/>
              <w:ind w:left="119"/>
            </w:pPr>
            <w:r>
              <w:rPr>
                <w:spacing w:val="-4"/>
              </w:rPr>
              <w:t>30 日历天（自递交响应文件截止之日起）</w:t>
            </w:r>
          </w:p>
        </w:tc>
      </w:tr>
      <w:tr w14:paraId="72404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62" w:type="dxa"/>
            <w:vAlign w:val="top"/>
          </w:tcPr>
          <w:p w14:paraId="7BE18634">
            <w:pPr>
              <w:pStyle w:val="14"/>
              <w:spacing w:before="162" w:line="183" w:lineRule="auto"/>
              <w:ind w:left="313"/>
            </w:pPr>
            <w:r>
              <w:rPr>
                <w:spacing w:val="-5"/>
              </w:rPr>
              <w:t>3.4</w:t>
            </w:r>
          </w:p>
        </w:tc>
        <w:tc>
          <w:tcPr>
            <w:tcW w:w="1659" w:type="dxa"/>
            <w:vAlign w:val="top"/>
          </w:tcPr>
          <w:p w14:paraId="1BCC03DB">
            <w:pPr>
              <w:pStyle w:val="14"/>
              <w:spacing w:before="146" w:line="220" w:lineRule="auto"/>
              <w:ind w:left="234"/>
            </w:pPr>
            <w:r>
              <w:rPr>
                <w:spacing w:val="-2"/>
              </w:rPr>
              <w:t>谈判保证金</w:t>
            </w:r>
          </w:p>
        </w:tc>
        <w:tc>
          <w:tcPr>
            <w:tcW w:w="7152" w:type="dxa"/>
            <w:vAlign w:val="top"/>
          </w:tcPr>
          <w:p w14:paraId="708F572E">
            <w:pPr>
              <w:pStyle w:val="14"/>
              <w:spacing w:before="141" w:line="220" w:lineRule="auto"/>
              <w:ind w:left="116"/>
            </w:pPr>
            <w:r>
              <w:t>无</w:t>
            </w:r>
          </w:p>
        </w:tc>
      </w:tr>
      <w:tr w14:paraId="6563A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vAlign w:val="top"/>
          </w:tcPr>
          <w:p w14:paraId="688169DB">
            <w:pPr>
              <w:pStyle w:val="14"/>
              <w:spacing w:before="78" w:line="184" w:lineRule="auto"/>
            </w:pPr>
            <w:r>
              <w:rPr>
                <w:spacing w:val="-3"/>
              </w:rPr>
              <w:t>3.5.1</w:t>
            </w:r>
          </w:p>
        </w:tc>
        <w:tc>
          <w:tcPr>
            <w:tcW w:w="1659" w:type="dxa"/>
            <w:vAlign w:val="top"/>
          </w:tcPr>
          <w:p w14:paraId="713369B9">
            <w:pPr>
              <w:pStyle w:val="14"/>
              <w:spacing w:before="78" w:line="219" w:lineRule="auto"/>
            </w:pPr>
            <w:r>
              <w:rPr>
                <w:spacing w:val="-5"/>
              </w:rPr>
              <w:t>资格审查</w:t>
            </w:r>
          </w:p>
        </w:tc>
        <w:tc>
          <w:tcPr>
            <w:tcW w:w="7152" w:type="dxa"/>
            <w:vAlign w:val="top"/>
          </w:tcPr>
          <w:p w14:paraId="7A566E2A">
            <w:pPr>
              <w:spacing w:line="240" w:lineRule="auto"/>
              <w:jc w:val="left"/>
              <w:rPr>
                <w:sz w:val="24"/>
                <w:szCs w:val="24"/>
              </w:rPr>
            </w:pPr>
            <w:r>
              <w:rPr>
                <w:sz w:val="24"/>
                <w:szCs w:val="24"/>
              </w:rPr>
              <w:t>1、</w:t>
            </w:r>
            <w:r>
              <w:rPr>
                <w:rFonts w:hint="eastAsia"/>
                <w:sz w:val="24"/>
                <w:szCs w:val="24"/>
                <w:lang w:val="en-US" w:eastAsia="zh-CN"/>
              </w:rPr>
              <w:t>评审小组对供应商的资格审查文件（电子版）进行评审。评审合格的进入下一阶段评审</w:t>
            </w:r>
            <w:r>
              <w:rPr>
                <w:sz w:val="24"/>
                <w:szCs w:val="24"/>
              </w:rPr>
              <w:t>；</w:t>
            </w:r>
            <w:r>
              <w:rPr>
                <w:rFonts w:hint="eastAsia"/>
                <w:sz w:val="24"/>
                <w:szCs w:val="24"/>
                <w:lang w:val="en-US" w:eastAsia="zh-CN"/>
              </w:rPr>
              <w:t>评审</w:t>
            </w:r>
            <w:r>
              <w:rPr>
                <w:sz w:val="24"/>
                <w:szCs w:val="24"/>
              </w:rPr>
              <w:t>不合格的</w:t>
            </w:r>
            <w:r>
              <w:rPr>
                <w:rFonts w:hint="eastAsia"/>
                <w:sz w:val="24"/>
                <w:szCs w:val="24"/>
              </w:rPr>
              <w:t>取消其资格</w:t>
            </w:r>
            <w:r>
              <w:rPr>
                <w:sz w:val="24"/>
                <w:szCs w:val="24"/>
              </w:rPr>
              <w:t>，</w:t>
            </w:r>
            <w:r>
              <w:rPr>
                <w:rFonts w:hint="eastAsia"/>
                <w:sz w:val="24"/>
                <w:szCs w:val="24"/>
              </w:rPr>
              <w:t>购买</w:t>
            </w:r>
            <w:r>
              <w:rPr>
                <w:rFonts w:hint="eastAsia"/>
                <w:sz w:val="24"/>
                <w:szCs w:val="24"/>
                <w:lang w:val="en-US" w:eastAsia="zh-CN"/>
              </w:rPr>
              <w:t>谈判</w:t>
            </w:r>
            <w:r>
              <w:rPr>
                <w:rFonts w:hint="eastAsia"/>
                <w:sz w:val="24"/>
                <w:szCs w:val="24"/>
              </w:rPr>
              <w:t>文件的费用</w:t>
            </w:r>
            <w:r>
              <w:rPr>
                <w:sz w:val="24"/>
                <w:szCs w:val="24"/>
              </w:rPr>
              <w:t>不退。</w:t>
            </w:r>
          </w:p>
          <w:p w14:paraId="22D4B795">
            <w:pPr>
              <w:pStyle w:val="14"/>
              <w:spacing w:before="54" w:line="242" w:lineRule="auto"/>
              <w:ind w:left="121" w:right="27" w:hanging="2"/>
            </w:pPr>
            <w:r>
              <w:rPr>
                <w:sz w:val="24"/>
                <w:szCs w:val="24"/>
              </w:rPr>
              <w:t>2、</w:t>
            </w:r>
            <w:r>
              <w:rPr>
                <w:rFonts w:hint="eastAsia"/>
                <w:sz w:val="24"/>
                <w:szCs w:val="24"/>
                <w:lang w:val="en-US" w:eastAsia="zh-CN"/>
              </w:rPr>
              <w:t>制作资格审查文件（电子版）后，在</w:t>
            </w:r>
            <w:r>
              <w:rPr>
                <w:rFonts w:hint="eastAsia" w:cs="Times New Roman"/>
                <w:kern w:val="2"/>
                <w:szCs w:val="22"/>
              </w:rPr>
              <w:t>202</w:t>
            </w:r>
            <w:r>
              <w:rPr>
                <w:rFonts w:hint="eastAsia" w:cs="Times New Roman"/>
                <w:kern w:val="2"/>
                <w:szCs w:val="22"/>
                <w:lang w:val="en-US" w:eastAsia="zh-CN"/>
              </w:rPr>
              <w:t>5</w:t>
            </w:r>
            <w:r>
              <w:rPr>
                <w:rFonts w:hint="eastAsia" w:cs="Times New Roman"/>
                <w:kern w:val="2"/>
                <w:szCs w:val="22"/>
              </w:rPr>
              <w:t>年</w:t>
            </w:r>
            <w:r>
              <w:rPr>
                <w:rFonts w:hint="eastAsia" w:cs="Times New Roman"/>
                <w:kern w:val="2"/>
                <w:szCs w:val="22"/>
                <w:lang w:val="en-US" w:eastAsia="zh-CN"/>
              </w:rPr>
              <w:t>7</w:t>
            </w:r>
            <w:r>
              <w:rPr>
                <w:rFonts w:hint="eastAsia" w:cs="Times New Roman"/>
                <w:kern w:val="2"/>
                <w:szCs w:val="22"/>
              </w:rPr>
              <w:t>月</w:t>
            </w:r>
            <w:r>
              <w:rPr>
                <w:rFonts w:hint="eastAsia" w:cs="Times New Roman"/>
                <w:kern w:val="2"/>
                <w:szCs w:val="22"/>
                <w:lang w:val="en-US" w:eastAsia="zh-CN"/>
              </w:rPr>
              <w:t>10</w:t>
            </w:r>
            <w:bookmarkStart w:id="108" w:name="_GoBack"/>
            <w:bookmarkEnd w:id="108"/>
            <w:r>
              <w:rPr>
                <w:rFonts w:hint="eastAsia" w:cs="Times New Roman"/>
                <w:kern w:val="2"/>
                <w:szCs w:val="22"/>
              </w:rPr>
              <w:t>日上午</w:t>
            </w:r>
            <w:r>
              <w:rPr>
                <w:rFonts w:hint="eastAsia" w:cs="Times New Roman"/>
                <w:kern w:val="2"/>
                <w:szCs w:val="22"/>
                <w:lang w:val="en-US" w:eastAsia="zh-CN"/>
              </w:rPr>
              <w:t>9</w:t>
            </w:r>
            <w:r>
              <w:rPr>
                <w:rFonts w:hint="eastAsia" w:cs="Times New Roman"/>
                <w:kern w:val="2"/>
                <w:szCs w:val="22"/>
              </w:rPr>
              <w:t>点</w:t>
            </w:r>
            <w:r>
              <w:rPr>
                <w:rFonts w:hint="eastAsia"/>
                <w:sz w:val="24"/>
                <w:szCs w:val="24"/>
                <w:lang w:eastAsia="zh-CN"/>
              </w:rPr>
              <w:t>，</w:t>
            </w:r>
            <w:r>
              <w:rPr>
                <w:rFonts w:hint="eastAsia"/>
                <w:sz w:val="24"/>
                <w:szCs w:val="24"/>
                <w:lang w:val="en-US" w:eastAsia="zh-CN"/>
              </w:rPr>
              <w:t>上传报名网站</w:t>
            </w:r>
          </w:p>
        </w:tc>
      </w:tr>
      <w:tr w14:paraId="178F3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51052B47">
            <w:pPr>
              <w:pStyle w:val="14"/>
              <w:spacing w:before="282" w:line="184" w:lineRule="auto"/>
              <w:ind w:left="193"/>
            </w:pPr>
            <w:r>
              <w:rPr>
                <w:spacing w:val="-3"/>
              </w:rPr>
              <w:t>3.6.1</w:t>
            </w:r>
          </w:p>
        </w:tc>
        <w:tc>
          <w:tcPr>
            <w:tcW w:w="1659" w:type="dxa"/>
            <w:vAlign w:val="top"/>
          </w:tcPr>
          <w:p w14:paraId="00D36359">
            <w:pPr>
              <w:pStyle w:val="14"/>
              <w:spacing w:before="88" w:line="241" w:lineRule="auto"/>
              <w:ind w:left="113" w:right="110" w:hanging="2"/>
            </w:pPr>
            <w:r>
              <w:rPr>
                <w:spacing w:val="-6"/>
              </w:rPr>
              <w:t>近</w:t>
            </w:r>
            <w:r>
              <w:rPr>
                <w:spacing w:val="-44"/>
              </w:rPr>
              <w:t xml:space="preserve"> </w:t>
            </w:r>
            <w:r>
              <w:rPr>
                <w:spacing w:val="-6"/>
              </w:rPr>
              <w:t>3</w:t>
            </w:r>
            <w:r>
              <w:rPr>
                <w:spacing w:val="-50"/>
              </w:rPr>
              <w:t xml:space="preserve"> </w:t>
            </w:r>
            <w:r>
              <w:rPr>
                <w:spacing w:val="-6"/>
              </w:rPr>
              <w:t>年财务状</w:t>
            </w:r>
            <w:r>
              <w:t xml:space="preserve"> </w:t>
            </w:r>
            <w:r>
              <w:rPr>
                <w:spacing w:val="-2"/>
              </w:rPr>
              <w:t>况的年份要求</w:t>
            </w:r>
          </w:p>
        </w:tc>
        <w:tc>
          <w:tcPr>
            <w:tcW w:w="7152" w:type="dxa"/>
            <w:vAlign w:val="top"/>
          </w:tcPr>
          <w:p w14:paraId="27914E96">
            <w:pPr>
              <w:pStyle w:val="14"/>
              <w:spacing w:before="260" w:line="219" w:lineRule="auto"/>
              <w:ind w:left="117"/>
            </w:pPr>
            <w:r>
              <w:rPr>
                <w:spacing w:val="-9"/>
              </w:rPr>
              <w:t>202</w:t>
            </w:r>
            <w:r>
              <w:rPr>
                <w:rFonts w:hint="eastAsia"/>
                <w:spacing w:val="-9"/>
                <w:lang w:val="en-US" w:eastAsia="zh-CN"/>
              </w:rPr>
              <w:t>2</w:t>
            </w:r>
            <w:r>
              <w:rPr>
                <w:spacing w:val="-9"/>
              </w:rPr>
              <w:t>年</w:t>
            </w:r>
            <w:r>
              <w:rPr>
                <w:spacing w:val="-49"/>
              </w:rPr>
              <w:t xml:space="preserve"> </w:t>
            </w:r>
            <w:r>
              <w:rPr>
                <w:spacing w:val="-9"/>
              </w:rPr>
              <w:t>01</w:t>
            </w:r>
            <w:r>
              <w:rPr>
                <w:spacing w:val="-45"/>
              </w:rPr>
              <w:t xml:space="preserve"> </w:t>
            </w:r>
            <w:r>
              <w:rPr>
                <w:spacing w:val="-9"/>
              </w:rPr>
              <w:t>月</w:t>
            </w:r>
            <w:r>
              <w:rPr>
                <w:spacing w:val="-49"/>
              </w:rPr>
              <w:t xml:space="preserve"> </w:t>
            </w:r>
            <w:r>
              <w:rPr>
                <w:spacing w:val="-9"/>
              </w:rPr>
              <w:t>01 日至今。</w:t>
            </w:r>
          </w:p>
        </w:tc>
      </w:tr>
      <w:tr w14:paraId="74052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30936F28">
            <w:pPr>
              <w:pStyle w:val="14"/>
              <w:spacing w:before="283" w:line="183" w:lineRule="auto"/>
              <w:ind w:left="193"/>
            </w:pPr>
            <w:r>
              <w:rPr>
                <w:spacing w:val="-3"/>
              </w:rPr>
              <w:t>3.6.2</w:t>
            </w:r>
          </w:p>
        </w:tc>
        <w:tc>
          <w:tcPr>
            <w:tcW w:w="1659" w:type="dxa"/>
            <w:vAlign w:val="top"/>
          </w:tcPr>
          <w:p w14:paraId="63748D22">
            <w:pPr>
              <w:pStyle w:val="14"/>
              <w:spacing w:before="85" w:line="242" w:lineRule="auto"/>
              <w:ind w:left="111" w:right="110"/>
            </w:pPr>
            <w:r>
              <w:rPr>
                <w:spacing w:val="-6"/>
              </w:rPr>
              <w:t>近</w:t>
            </w:r>
            <w:r>
              <w:rPr>
                <w:spacing w:val="-44"/>
              </w:rPr>
              <w:t xml:space="preserve"> </w:t>
            </w:r>
            <w:r>
              <w:rPr>
                <w:spacing w:val="-6"/>
              </w:rPr>
              <w:t>3</w:t>
            </w:r>
            <w:r>
              <w:rPr>
                <w:spacing w:val="-50"/>
              </w:rPr>
              <w:t xml:space="preserve"> </w:t>
            </w:r>
            <w:r>
              <w:rPr>
                <w:spacing w:val="-6"/>
              </w:rPr>
              <w:t>年完成的</w:t>
            </w:r>
            <w:r>
              <w:t xml:space="preserve"> </w:t>
            </w:r>
            <w:r>
              <w:rPr>
                <w:spacing w:val="-3"/>
              </w:rPr>
              <w:t>类似项目</w:t>
            </w:r>
          </w:p>
        </w:tc>
        <w:tc>
          <w:tcPr>
            <w:tcW w:w="7152" w:type="dxa"/>
            <w:vAlign w:val="top"/>
          </w:tcPr>
          <w:p w14:paraId="1C5E2E0B">
            <w:pPr>
              <w:pStyle w:val="14"/>
              <w:spacing w:before="260" w:line="219" w:lineRule="auto"/>
              <w:ind w:left="117"/>
            </w:pPr>
            <w:r>
              <w:rPr>
                <w:spacing w:val="-9"/>
              </w:rPr>
              <w:t>202</w:t>
            </w:r>
            <w:r>
              <w:rPr>
                <w:rFonts w:hint="eastAsia"/>
                <w:spacing w:val="-9"/>
                <w:lang w:val="en-US" w:eastAsia="zh-CN"/>
              </w:rPr>
              <w:t>2</w:t>
            </w:r>
            <w:r>
              <w:rPr>
                <w:spacing w:val="-36"/>
              </w:rPr>
              <w:t xml:space="preserve"> </w:t>
            </w:r>
            <w:r>
              <w:rPr>
                <w:spacing w:val="-9"/>
              </w:rPr>
              <w:t>年</w:t>
            </w:r>
            <w:r>
              <w:rPr>
                <w:spacing w:val="-49"/>
              </w:rPr>
              <w:t xml:space="preserve"> </w:t>
            </w:r>
            <w:r>
              <w:rPr>
                <w:spacing w:val="-9"/>
              </w:rPr>
              <w:t>01</w:t>
            </w:r>
            <w:r>
              <w:rPr>
                <w:spacing w:val="-45"/>
              </w:rPr>
              <w:t xml:space="preserve"> </w:t>
            </w:r>
            <w:r>
              <w:rPr>
                <w:spacing w:val="-9"/>
              </w:rPr>
              <w:t>月</w:t>
            </w:r>
            <w:r>
              <w:rPr>
                <w:spacing w:val="-49"/>
              </w:rPr>
              <w:t xml:space="preserve"> </w:t>
            </w:r>
            <w:r>
              <w:rPr>
                <w:spacing w:val="-9"/>
              </w:rPr>
              <w:t>01 日至今。</w:t>
            </w:r>
          </w:p>
        </w:tc>
      </w:tr>
      <w:tr w14:paraId="1328C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62" w:type="dxa"/>
            <w:vAlign w:val="top"/>
          </w:tcPr>
          <w:p w14:paraId="1277B3CA">
            <w:pPr>
              <w:spacing w:line="382" w:lineRule="auto"/>
              <w:rPr>
                <w:rFonts w:ascii="Arial"/>
                <w:sz w:val="21"/>
              </w:rPr>
            </w:pPr>
          </w:p>
          <w:p w14:paraId="78BC939C">
            <w:pPr>
              <w:pStyle w:val="14"/>
              <w:spacing w:before="78" w:line="183" w:lineRule="auto"/>
              <w:ind w:left="193"/>
            </w:pPr>
            <w:r>
              <w:rPr>
                <w:spacing w:val="-3"/>
              </w:rPr>
              <w:t>3.6.3</w:t>
            </w:r>
          </w:p>
        </w:tc>
        <w:tc>
          <w:tcPr>
            <w:tcW w:w="1659" w:type="dxa"/>
            <w:vAlign w:val="top"/>
          </w:tcPr>
          <w:p w14:paraId="4ABE6469">
            <w:pPr>
              <w:pStyle w:val="14"/>
              <w:spacing w:before="87" w:line="253" w:lineRule="auto"/>
              <w:ind w:left="111" w:right="110"/>
              <w:jc w:val="both"/>
            </w:pPr>
            <w:r>
              <w:rPr>
                <w:spacing w:val="-6"/>
              </w:rPr>
              <w:t>近</w:t>
            </w:r>
            <w:r>
              <w:rPr>
                <w:spacing w:val="-44"/>
              </w:rPr>
              <w:t xml:space="preserve"> </w:t>
            </w:r>
            <w:r>
              <w:rPr>
                <w:spacing w:val="-6"/>
              </w:rPr>
              <w:t>3</w:t>
            </w:r>
            <w:r>
              <w:rPr>
                <w:spacing w:val="-50"/>
              </w:rPr>
              <w:t xml:space="preserve"> </w:t>
            </w:r>
            <w:r>
              <w:rPr>
                <w:spacing w:val="-6"/>
              </w:rPr>
              <w:t>年发生的</w:t>
            </w:r>
            <w:r>
              <w:t xml:space="preserve"> </w:t>
            </w:r>
            <w:r>
              <w:rPr>
                <w:spacing w:val="-2"/>
              </w:rPr>
              <w:t>诉讼及仲裁情</w:t>
            </w:r>
            <w:r>
              <w:rPr>
                <w:spacing w:val="2"/>
              </w:rPr>
              <w:t xml:space="preserve"> </w:t>
            </w:r>
            <w:r>
              <w:rPr>
                <w:spacing w:val="-2"/>
              </w:rPr>
              <w:t>况的年份要求</w:t>
            </w:r>
          </w:p>
        </w:tc>
        <w:tc>
          <w:tcPr>
            <w:tcW w:w="7152" w:type="dxa"/>
            <w:vAlign w:val="top"/>
          </w:tcPr>
          <w:p w14:paraId="089799FB">
            <w:pPr>
              <w:spacing w:line="362" w:lineRule="auto"/>
              <w:rPr>
                <w:rFonts w:ascii="Arial"/>
                <w:sz w:val="21"/>
              </w:rPr>
            </w:pPr>
          </w:p>
          <w:p w14:paraId="1AC819F3">
            <w:pPr>
              <w:pStyle w:val="14"/>
              <w:spacing w:before="78" w:line="219" w:lineRule="auto"/>
              <w:ind w:left="117"/>
            </w:pPr>
            <w:r>
              <w:rPr>
                <w:spacing w:val="-9"/>
              </w:rPr>
              <w:t>202</w:t>
            </w:r>
            <w:r>
              <w:rPr>
                <w:rFonts w:hint="eastAsia"/>
                <w:spacing w:val="-9"/>
                <w:lang w:val="en-US" w:eastAsia="zh-CN"/>
              </w:rPr>
              <w:t>2</w:t>
            </w:r>
            <w:r>
              <w:rPr>
                <w:spacing w:val="-36"/>
              </w:rPr>
              <w:t xml:space="preserve"> </w:t>
            </w:r>
            <w:r>
              <w:rPr>
                <w:spacing w:val="-9"/>
              </w:rPr>
              <w:t>年</w:t>
            </w:r>
            <w:r>
              <w:rPr>
                <w:spacing w:val="-49"/>
              </w:rPr>
              <w:t xml:space="preserve"> </w:t>
            </w:r>
            <w:r>
              <w:rPr>
                <w:spacing w:val="-9"/>
              </w:rPr>
              <w:t>01</w:t>
            </w:r>
            <w:r>
              <w:rPr>
                <w:spacing w:val="-45"/>
              </w:rPr>
              <w:t xml:space="preserve"> </w:t>
            </w:r>
            <w:r>
              <w:rPr>
                <w:spacing w:val="-9"/>
              </w:rPr>
              <w:t>月</w:t>
            </w:r>
            <w:r>
              <w:rPr>
                <w:spacing w:val="-49"/>
              </w:rPr>
              <w:t xml:space="preserve"> </w:t>
            </w:r>
            <w:r>
              <w:rPr>
                <w:spacing w:val="-9"/>
              </w:rPr>
              <w:t>01 日至今。</w:t>
            </w:r>
          </w:p>
        </w:tc>
      </w:tr>
      <w:tr w14:paraId="7B11B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23C7803C">
            <w:pPr>
              <w:pStyle w:val="14"/>
              <w:spacing w:before="282" w:line="184" w:lineRule="auto"/>
              <w:ind w:left="193"/>
            </w:pPr>
            <w:r>
              <w:rPr>
                <w:spacing w:val="-3"/>
              </w:rPr>
              <w:t>3.7.1</w:t>
            </w:r>
          </w:p>
        </w:tc>
        <w:tc>
          <w:tcPr>
            <w:tcW w:w="1659" w:type="dxa"/>
            <w:vAlign w:val="top"/>
          </w:tcPr>
          <w:p w14:paraId="18B4CAB3">
            <w:pPr>
              <w:pStyle w:val="14"/>
              <w:spacing w:before="88" w:line="241" w:lineRule="auto"/>
              <w:ind w:left="716" w:right="108" w:hanging="601"/>
            </w:pPr>
            <w:r>
              <w:rPr>
                <w:spacing w:val="-2"/>
              </w:rPr>
              <w:t>签字或盖章要</w:t>
            </w:r>
            <w:r>
              <w:rPr>
                <w:spacing w:val="1"/>
              </w:rPr>
              <w:t xml:space="preserve"> </w:t>
            </w:r>
            <w:r>
              <w:t>求</w:t>
            </w:r>
          </w:p>
        </w:tc>
        <w:tc>
          <w:tcPr>
            <w:tcW w:w="7152" w:type="dxa"/>
            <w:vAlign w:val="top"/>
          </w:tcPr>
          <w:p w14:paraId="71DD690B">
            <w:pPr>
              <w:pStyle w:val="14"/>
              <w:spacing w:before="91"/>
              <w:ind w:left="122" w:right="46" w:firstLine="4"/>
            </w:pPr>
            <w:r>
              <w:rPr>
                <w:spacing w:val="-9"/>
              </w:rPr>
              <w:t>响应文件应按第六章“响应文件格式及内容</w:t>
            </w:r>
            <w:r>
              <w:rPr>
                <w:spacing w:val="-78"/>
              </w:rPr>
              <w:t xml:space="preserve"> </w:t>
            </w:r>
            <w:r>
              <w:rPr>
                <w:spacing w:val="-9"/>
              </w:rPr>
              <w:t>”要求进行签字或盖章，</w:t>
            </w:r>
            <w:r>
              <w:t xml:space="preserve"> </w:t>
            </w:r>
            <w:r>
              <w:rPr>
                <w:spacing w:val="-2"/>
              </w:rPr>
              <w:t>否则其响应文件按照无效处理。</w:t>
            </w:r>
          </w:p>
        </w:tc>
      </w:tr>
      <w:tr w14:paraId="2774A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962" w:type="dxa"/>
            <w:vAlign w:val="top"/>
          </w:tcPr>
          <w:p w14:paraId="1BD8D57B">
            <w:pPr>
              <w:pStyle w:val="14"/>
              <w:spacing w:before="264" w:line="183" w:lineRule="auto"/>
              <w:ind w:left="193"/>
            </w:pPr>
            <w:r>
              <w:rPr>
                <w:spacing w:val="-3"/>
              </w:rPr>
              <w:t>3.7.2</w:t>
            </w:r>
          </w:p>
        </w:tc>
        <w:tc>
          <w:tcPr>
            <w:tcW w:w="1659" w:type="dxa"/>
            <w:vAlign w:val="top"/>
          </w:tcPr>
          <w:p w14:paraId="11E2DB24">
            <w:pPr>
              <w:pStyle w:val="14"/>
              <w:spacing w:before="248" w:line="219" w:lineRule="auto"/>
              <w:ind w:left="367"/>
            </w:pPr>
            <w:r>
              <w:rPr>
                <w:spacing w:val="-6"/>
              </w:rPr>
              <w:t>响应文件</w:t>
            </w:r>
          </w:p>
        </w:tc>
        <w:tc>
          <w:tcPr>
            <w:tcW w:w="7152" w:type="dxa"/>
            <w:vAlign w:val="top"/>
          </w:tcPr>
          <w:p w14:paraId="4379552D">
            <w:pPr>
              <w:pStyle w:val="14"/>
              <w:spacing w:before="71" w:line="233" w:lineRule="auto"/>
              <w:ind w:left="111" w:right="2062" w:firstLine="4"/>
            </w:pPr>
            <w:r>
              <w:rPr>
                <w:spacing w:val="-4"/>
              </w:rPr>
              <w:t>上传至济钢集团有限公司阳光购销平台（网址：</w:t>
            </w:r>
            <w:r>
              <w:rPr>
                <w:spacing w:val="11"/>
              </w:rPr>
              <w:t xml:space="preserve"> </w:t>
            </w:r>
            <w:r>
              <w:fldChar w:fldCharType="begin"/>
            </w:r>
            <w:r>
              <w:instrText xml:space="preserve"> HYPERLINK "http://bidding.jigang.com.cn" </w:instrText>
            </w:r>
            <w:r>
              <w:fldChar w:fldCharType="separate"/>
            </w:r>
            <w:r>
              <w:t>http://bidding.jigang.</w:t>
            </w:r>
            <w:r>
              <w:rPr>
                <w:spacing w:val="-1"/>
              </w:rPr>
              <w:t>com.cn</w:t>
            </w:r>
            <w:r>
              <w:rPr>
                <w:spacing w:val="-1"/>
              </w:rPr>
              <w:fldChar w:fldCharType="end"/>
            </w:r>
            <w:r>
              <w:rPr>
                <w:spacing w:val="-1"/>
              </w:rPr>
              <w:t>/）</w:t>
            </w:r>
          </w:p>
        </w:tc>
      </w:tr>
    </w:tbl>
    <w:p w14:paraId="1B6EB3B1">
      <w:pPr>
        <w:pStyle w:val="7"/>
      </w:pPr>
    </w:p>
    <w:tbl>
      <w:tblPr>
        <w:tblStyle w:val="13"/>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8"/>
      </w:tblGrid>
      <w:tr w14:paraId="5BF6E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962" w:type="dxa"/>
            <w:vAlign w:val="top"/>
          </w:tcPr>
          <w:p w14:paraId="6AA726E0">
            <w:pPr>
              <w:spacing w:line="286" w:lineRule="auto"/>
              <w:rPr>
                <w:rFonts w:ascii="Arial"/>
                <w:sz w:val="21"/>
              </w:rPr>
            </w:pPr>
          </w:p>
          <w:p w14:paraId="46D22D74">
            <w:pPr>
              <w:spacing w:line="287" w:lineRule="auto"/>
              <w:rPr>
                <w:rFonts w:ascii="Arial"/>
                <w:sz w:val="21"/>
              </w:rPr>
            </w:pPr>
          </w:p>
          <w:p w14:paraId="3F767D84">
            <w:pPr>
              <w:spacing w:line="287" w:lineRule="auto"/>
              <w:rPr>
                <w:rFonts w:ascii="Arial"/>
                <w:sz w:val="21"/>
              </w:rPr>
            </w:pPr>
          </w:p>
          <w:p w14:paraId="4B062B80">
            <w:pPr>
              <w:pStyle w:val="14"/>
              <w:spacing w:before="78" w:line="183" w:lineRule="auto"/>
              <w:ind w:left="193"/>
            </w:pPr>
            <w:r>
              <w:rPr>
                <w:spacing w:val="-3"/>
              </w:rPr>
              <w:t>3.7.3</w:t>
            </w:r>
          </w:p>
        </w:tc>
        <w:tc>
          <w:tcPr>
            <w:tcW w:w="1659" w:type="dxa"/>
            <w:vAlign w:val="center"/>
          </w:tcPr>
          <w:p w14:paraId="167A5DC8">
            <w:pPr>
              <w:spacing w:line="360" w:lineRule="exact"/>
              <w:ind w:left="135" w:leftChars="-50" w:right="-105" w:rightChars="-50" w:hanging="240" w:hangingChars="100"/>
              <w:jc w:val="center"/>
            </w:pPr>
            <w:r>
              <w:rPr>
                <w:sz w:val="24"/>
              </w:rPr>
              <w:t>纸质</w:t>
            </w:r>
            <w:r>
              <w:rPr>
                <w:rFonts w:hint="eastAsia" w:eastAsia="宋体"/>
                <w:sz w:val="24"/>
                <w:lang w:val="en-US" w:eastAsia="zh-CN"/>
              </w:rPr>
              <w:t>响应</w:t>
            </w:r>
            <w:r>
              <w:rPr>
                <w:sz w:val="24"/>
              </w:rPr>
              <w:t>文件装订要求（中标单位提供纸质版</w:t>
            </w:r>
            <w:r>
              <w:rPr>
                <w:rFonts w:hint="eastAsia" w:eastAsia="宋体"/>
                <w:sz w:val="24"/>
                <w:lang w:val="en-US" w:eastAsia="zh-CN"/>
              </w:rPr>
              <w:t>响应</w:t>
            </w:r>
            <w:r>
              <w:rPr>
                <w:sz w:val="24"/>
              </w:rPr>
              <w:t>文件）</w:t>
            </w:r>
          </w:p>
        </w:tc>
        <w:tc>
          <w:tcPr>
            <w:tcW w:w="7158" w:type="dxa"/>
            <w:vAlign w:val="center"/>
          </w:tcPr>
          <w:p w14:paraId="1F8C5FAF">
            <w:pPr>
              <w:spacing w:line="340" w:lineRule="exact"/>
              <w:jc w:val="left"/>
              <w:rPr>
                <w:sz w:val="24"/>
              </w:rPr>
            </w:pPr>
            <w:r>
              <w:rPr>
                <w:sz w:val="24"/>
              </w:rPr>
              <w:t>1、</w:t>
            </w:r>
            <w:r>
              <w:rPr>
                <w:rFonts w:hint="eastAsia" w:eastAsia="宋体"/>
                <w:sz w:val="24"/>
                <w:lang w:val="en-US" w:eastAsia="zh-CN"/>
              </w:rPr>
              <w:t>响应</w:t>
            </w:r>
            <w:r>
              <w:rPr>
                <w:sz w:val="24"/>
              </w:rPr>
              <w:t>文件的正本与副本应分别装订成册。</w:t>
            </w:r>
          </w:p>
          <w:p w14:paraId="2CDCDA68">
            <w:pPr>
              <w:spacing w:line="340" w:lineRule="exact"/>
              <w:jc w:val="left"/>
              <w:rPr>
                <w:sz w:val="24"/>
              </w:rPr>
            </w:pPr>
            <w:r>
              <w:rPr>
                <w:sz w:val="24"/>
              </w:rPr>
              <w:t>2、</w:t>
            </w:r>
            <w:r>
              <w:rPr>
                <w:rFonts w:hint="eastAsia" w:eastAsia="宋体"/>
                <w:sz w:val="24"/>
                <w:lang w:val="en-US" w:eastAsia="zh-CN"/>
              </w:rPr>
              <w:t>响应</w:t>
            </w:r>
            <w:r>
              <w:rPr>
                <w:sz w:val="24"/>
              </w:rPr>
              <w:t>文件每册均须采用胶装方式在左侧装订，装订须牢固不易拆散和换页，不得采用活页方式装订。</w:t>
            </w:r>
          </w:p>
          <w:p w14:paraId="5BD14195">
            <w:pPr>
              <w:spacing w:line="360" w:lineRule="exact"/>
              <w:ind w:right="-105" w:rightChars="-50"/>
              <w:jc w:val="left"/>
              <w:rPr>
                <w:sz w:val="24"/>
              </w:rPr>
            </w:pPr>
            <w:r>
              <w:rPr>
                <w:sz w:val="24"/>
              </w:rPr>
              <w:t>3、</w:t>
            </w:r>
            <w:r>
              <w:rPr>
                <w:rFonts w:hint="eastAsia" w:eastAsia="宋体"/>
                <w:sz w:val="24"/>
                <w:lang w:eastAsia="zh-CN"/>
              </w:rPr>
              <w:t>响应文件</w:t>
            </w:r>
            <w:r>
              <w:rPr>
                <w:sz w:val="24"/>
              </w:rPr>
              <w:t>正本和副本的封面上应清楚地标记“正本”或“副本”的字样；正本和副本如有不一致之处，以正本为准。</w:t>
            </w:r>
          </w:p>
          <w:p w14:paraId="01F065BE">
            <w:pPr>
              <w:spacing w:line="360" w:lineRule="exact"/>
              <w:ind w:right="-105" w:rightChars="-50"/>
              <w:jc w:val="left"/>
            </w:pPr>
            <w:r>
              <w:rPr>
                <w:sz w:val="24"/>
              </w:rPr>
              <w:t>4、</w:t>
            </w:r>
            <w:r>
              <w:rPr>
                <w:rFonts w:hint="eastAsia"/>
                <w:sz w:val="24"/>
                <w:lang w:eastAsia="zh-CN"/>
              </w:rPr>
              <w:t>供应商</w:t>
            </w:r>
            <w:r>
              <w:rPr>
                <w:sz w:val="24"/>
              </w:rPr>
              <w:t>收到中标通知书后3日内，需将纸质</w:t>
            </w:r>
            <w:r>
              <w:rPr>
                <w:rFonts w:hint="eastAsia" w:eastAsia="宋体"/>
                <w:sz w:val="24"/>
                <w:lang w:eastAsia="zh-CN"/>
              </w:rPr>
              <w:t>响应文件</w:t>
            </w:r>
            <w:r>
              <w:rPr>
                <w:sz w:val="24"/>
              </w:rPr>
              <w:t>邮寄到山东省济南市官庄街道青野村东，山东济钢环保新材料有限公司，收件人：史工，收件人手机号：18615514537</w:t>
            </w:r>
          </w:p>
        </w:tc>
      </w:tr>
      <w:tr w14:paraId="2C708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27711192">
            <w:pPr>
              <w:pStyle w:val="14"/>
              <w:spacing w:before="99" w:line="183" w:lineRule="auto"/>
              <w:ind w:left="193"/>
            </w:pPr>
            <w:r>
              <w:rPr>
                <w:spacing w:val="-3"/>
              </w:rPr>
              <w:t>3.7.4</w:t>
            </w:r>
          </w:p>
        </w:tc>
        <w:tc>
          <w:tcPr>
            <w:tcW w:w="1659" w:type="dxa"/>
            <w:vAlign w:val="top"/>
          </w:tcPr>
          <w:p w14:paraId="21660759">
            <w:pPr>
              <w:pStyle w:val="14"/>
              <w:spacing w:before="83" w:line="209" w:lineRule="auto"/>
              <w:ind w:left="383"/>
            </w:pPr>
            <w:r>
              <w:rPr>
                <w:spacing w:val="-10"/>
              </w:rPr>
              <w:t>电子文档</w:t>
            </w:r>
          </w:p>
        </w:tc>
        <w:tc>
          <w:tcPr>
            <w:tcW w:w="7158" w:type="dxa"/>
            <w:vAlign w:val="top"/>
          </w:tcPr>
          <w:p w14:paraId="7E1C2F56">
            <w:pPr>
              <w:pStyle w:val="14"/>
              <w:spacing w:before="78" w:line="213" w:lineRule="auto"/>
              <w:ind w:left="117"/>
            </w:pPr>
            <w:r>
              <w:rPr>
                <w:spacing w:val="-3"/>
              </w:rPr>
              <w:t>详见谈判须知正文</w:t>
            </w:r>
            <w:r>
              <w:rPr>
                <w:spacing w:val="-40"/>
              </w:rPr>
              <w:t xml:space="preserve"> </w:t>
            </w:r>
            <w:r>
              <w:rPr>
                <w:spacing w:val="-3"/>
              </w:rPr>
              <w:t>3.7.6</w:t>
            </w:r>
            <w:r>
              <w:rPr>
                <w:spacing w:val="-49"/>
              </w:rPr>
              <w:t xml:space="preserve"> </w:t>
            </w:r>
            <w:r>
              <w:rPr>
                <w:spacing w:val="-3"/>
              </w:rPr>
              <w:t>条款</w:t>
            </w:r>
          </w:p>
        </w:tc>
      </w:tr>
      <w:tr w14:paraId="5F479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26C7154B">
            <w:pPr>
              <w:pStyle w:val="14"/>
              <w:spacing w:before="278" w:line="184" w:lineRule="auto"/>
              <w:ind w:left="308"/>
            </w:pPr>
            <w:r>
              <w:rPr>
                <w:spacing w:val="-3"/>
              </w:rPr>
              <w:t>4.1</w:t>
            </w:r>
          </w:p>
        </w:tc>
        <w:tc>
          <w:tcPr>
            <w:tcW w:w="1659" w:type="dxa"/>
            <w:vAlign w:val="top"/>
          </w:tcPr>
          <w:p w14:paraId="71028728">
            <w:pPr>
              <w:pStyle w:val="14"/>
              <w:spacing w:before="83" w:line="243" w:lineRule="auto"/>
              <w:ind w:left="254" w:right="108" w:hanging="137"/>
            </w:pPr>
            <w:r>
              <w:rPr>
                <w:spacing w:val="-2"/>
              </w:rPr>
              <w:t>上传响应文件</w:t>
            </w:r>
            <w:r>
              <w:t xml:space="preserve"> </w:t>
            </w:r>
            <w:r>
              <w:rPr>
                <w:spacing w:val="-6"/>
              </w:rPr>
              <w:t>的截止时间</w:t>
            </w:r>
          </w:p>
        </w:tc>
        <w:tc>
          <w:tcPr>
            <w:tcW w:w="7158" w:type="dxa"/>
            <w:vAlign w:val="top"/>
          </w:tcPr>
          <w:p w14:paraId="4883E993">
            <w:pPr>
              <w:pStyle w:val="14"/>
              <w:spacing w:before="258" w:line="219" w:lineRule="auto"/>
              <w:ind w:left="117"/>
              <w:rPr>
                <w:rFonts w:hint="default" w:eastAsia="宋体"/>
                <w:lang w:val="en-US" w:eastAsia="zh-CN"/>
              </w:rPr>
            </w:pPr>
            <w:r>
              <w:rPr>
                <w:rFonts w:ascii="宋体" w:hAnsi="宋体" w:eastAsia="宋体" w:cs="宋体"/>
                <w:color w:val="FF0000"/>
                <w:spacing w:val="-9"/>
                <w:sz w:val="24"/>
                <w:szCs w:val="24"/>
              </w:rPr>
              <w:t>202</w:t>
            </w:r>
            <w:r>
              <w:rPr>
                <w:rFonts w:hint="eastAsia" w:ascii="宋体" w:hAnsi="宋体" w:eastAsia="宋体" w:cs="宋体"/>
                <w:color w:val="FF0000"/>
                <w:spacing w:val="-9"/>
                <w:sz w:val="24"/>
                <w:szCs w:val="24"/>
                <w:lang w:val="en-US" w:eastAsia="zh-CN"/>
              </w:rPr>
              <w:t>5</w:t>
            </w:r>
            <w:r>
              <w:rPr>
                <w:rFonts w:ascii="宋体" w:hAnsi="宋体" w:eastAsia="宋体" w:cs="宋体"/>
                <w:color w:val="FF0000"/>
                <w:spacing w:val="-9"/>
                <w:sz w:val="24"/>
                <w:szCs w:val="24"/>
              </w:rPr>
              <w:t>年</w:t>
            </w:r>
            <w:r>
              <w:rPr>
                <w:rFonts w:hint="eastAsia" w:ascii="宋体" w:hAnsi="宋体" w:eastAsia="宋体" w:cs="宋体"/>
                <w:color w:val="FF0000"/>
                <w:spacing w:val="-33"/>
                <w:sz w:val="24"/>
                <w:szCs w:val="24"/>
                <w:lang w:val="en-US" w:eastAsia="zh-CN"/>
              </w:rPr>
              <w:t>7</w:t>
            </w:r>
            <w:r>
              <w:rPr>
                <w:rFonts w:ascii="宋体" w:hAnsi="宋体" w:eastAsia="宋体" w:cs="宋体"/>
                <w:color w:val="FF0000"/>
                <w:spacing w:val="-9"/>
                <w:sz w:val="24"/>
                <w:szCs w:val="24"/>
              </w:rPr>
              <w:t>月</w:t>
            </w:r>
            <w:r>
              <w:rPr>
                <w:rFonts w:hint="eastAsia" w:ascii="宋体" w:hAnsi="宋体" w:eastAsia="宋体" w:cs="宋体"/>
                <w:color w:val="FF0000"/>
                <w:spacing w:val="-9"/>
                <w:sz w:val="24"/>
                <w:szCs w:val="24"/>
                <w:lang w:val="en-US" w:eastAsia="zh-CN"/>
              </w:rPr>
              <w:t>10</w:t>
            </w:r>
            <w:r>
              <w:rPr>
                <w:rFonts w:ascii="宋体" w:hAnsi="宋体" w:eastAsia="宋体" w:cs="宋体"/>
                <w:color w:val="FF0000"/>
                <w:spacing w:val="-9"/>
                <w:sz w:val="24"/>
                <w:szCs w:val="24"/>
              </w:rPr>
              <w:t>日</w:t>
            </w:r>
            <w:r>
              <w:rPr>
                <w:rFonts w:hint="eastAsia" w:ascii="宋体" w:hAnsi="宋体" w:eastAsia="宋体" w:cs="宋体"/>
                <w:color w:val="FF0000"/>
                <w:spacing w:val="-9"/>
                <w:sz w:val="24"/>
                <w:szCs w:val="24"/>
                <w:lang w:val="en-US" w:eastAsia="zh-CN"/>
              </w:rPr>
              <w:t>上午9</w:t>
            </w:r>
            <w:r>
              <w:rPr>
                <w:rFonts w:ascii="宋体" w:hAnsi="宋体" w:eastAsia="宋体" w:cs="宋体"/>
                <w:color w:val="FF0000"/>
                <w:spacing w:val="-9"/>
                <w:sz w:val="24"/>
                <w:szCs w:val="24"/>
              </w:rPr>
              <w:t>点</w:t>
            </w:r>
          </w:p>
        </w:tc>
      </w:tr>
      <w:tr w14:paraId="7B775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6D7591C7">
            <w:pPr>
              <w:pStyle w:val="14"/>
              <w:spacing w:before="277" w:line="184" w:lineRule="auto"/>
              <w:ind w:left="313"/>
            </w:pPr>
            <w:r>
              <w:rPr>
                <w:spacing w:val="-5"/>
              </w:rPr>
              <w:t>5.1</w:t>
            </w:r>
          </w:p>
        </w:tc>
        <w:tc>
          <w:tcPr>
            <w:tcW w:w="1659" w:type="dxa"/>
            <w:vAlign w:val="top"/>
          </w:tcPr>
          <w:p w14:paraId="77042A7D">
            <w:pPr>
              <w:pStyle w:val="14"/>
              <w:spacing w:before="83" w:line="243" w:lineRule="auto"/>
              <w:ind w:left="595" w:right="228" w:hanging="361"/>
            </w:pPr>
            <w:r>
              <w:rPr>
                <w:spacing w:val="-2"/>
              </w:rPr>
              <w:t>谈判时间和</w:t>
            </w:r>
            <w:r>
              <w:t xml:space="preserve"> </w:t>
            </w:r>
            <w:r>
              <w:rPr>
                <w:spacing w:val="-6"/>
              </w:rPr>
              <w:t>方式</w:t>
            </w:r>
          </w:p>
        </w:tc>
        <w:tc>
          <w:tcPr>
            <w:tcW w:w="7158" w:type="dxa"/>
            <w:vAlign w:val="top"/>
          </w:tcPr>
          <w:p w14:paraId="09F6990E">
            <w:pPr>
              <w:pStyle w:val="14"/>
              <w:spacing w:before="87" w:line="219" w:lineRule="auto"/>
              <w:ind w:left="113"/>
            </w:pPr>
            <w:r>
              <w:rPr>
                <w:spacing w:val="-9"/>
              </w:rPr>
              <w:t>谈判时间</w:t>
            </w:r>
            <w:r>
              <w:rPr>
                <w:color w:val="FF0000"/>
                <w:spacing w:val="-9"/>
              </w:rPr>
              <w:t>：</w:t>
            </w:r>
            <w:r>
              <w:rPr>
                <w:rFonts w:ascii="宋体" w:hAnsi="宋体" w:eastAsia="宋体" w:cs="宋体"/>
                <w:color w:val="FF0000"/>
                <w:spacing w:val="-9"/>
                <w:sz w:val="24"/>
                <w:szCs w:val="24"/>
              </w:rPr>
              <w:t>202</w:t>
            </w:r>
            <w:r>
              <w:rPr>
                <w:rFonts w:hint="eastAsia" w:ascii="宋体" w:hAnsi="宋体" w:eastAsia="宋体" w:cs="宋体"/>
                <w:color w:val="FF0000"/>
                <w:spacing w:val="-9"/>
                <w:sz w:val="24"/>
                <w:szCs w:val="24"/>
                <w:lang w:val="en-US" w:eastAsia="zh-CN"/>
              </w:rPr>
              <w:t>5</w:t>
            </w:r>
            <w:r>
              <w:rPr>
                <w:rFonts w:ascii="宋体" w:hAnsi="宋体" w:eastAsia="宋体" w:cs="宋体"/>
                <w:color w:val="FF0000"/>
                <w:spacing w:val="-9"/>
                <w:sz w:val="24"/>
                <w:szCs w:val="24"/>
              </w:rPr>
              <w:t>年</w:t>
            </w:r>
            <w:r>
              <w:rPr>
                <w:rFonts w:hint="eastAsia" w:ascii="宋体" w:hAnsi="宋体" w:eastAsia="宋体" w:cs="宋体"/>
                <w:color w:val="FF0000"/>
                <w:spacing w:val="-33"/>
                <w:sz w:val="24"/>
                <w:szCs w:val="24"/>
                <w:lang w:val="en-US" w:eastAsia="zh-CN"/>
              </w:rPr>
              <w:t>7</w:t>
            </w:r>
            <w:r>
              <w:rPr>
                <w:rFonts w:ascii="宋体" w:hAnsi="宋体" w:eastAsia="宋体" w:cs="宋体"/>
                <w:color w:val="FF0000"/>
                <w:spacing w:val="-9"/>
                <w:sz w:val="24"/>
                <w:szCs w:val="24"/>
              </w:rPr>
              <w:t>月</w:t>
            </w:r>
            <w:r>
              <w:rPr>
                <w:rFonts w:hint="eastAsia" w:ascii="宋体" w:hAnsi="宋体" w:eastAsia="宋体" w:cs="宋体"/>
                <w:color w:val="FF0000"/>
                <w:spacing w:val="-9"/>
                <w:sz w:val="24"/>
                <w:szCs w:val="24"/>
                <w:lang w:val="en-US" w:eastAsia="zh-CN"/>
              </w:rPr>
              <w:t>10</w:t>
            </w:r>
            <w:r>
              <w:rPr>
                <w:rFonts w:ascii="宋体" w:hAnsi="宋体" w:eastAsia="宋体" w:cs="宋体"/>
                <w:color w:val="FF0000"/>
                <w:spacing w:val="-9"/>
                <w:sz w:val="24"/>
                <w:szCs w:val="24"/>
              </w:rPr>
              <w:t>日</w:t>
            </w:r>
            <w:r>
              <w:rPr>
                <w:rFonts w:hint="eastAsia" w:ascii="宋体" w:hAnsi="宋体" w:eastAsia="宋体" w:cs="宋体"/>
                <w:color w:val="FF0000"/>
                <w:spacing w:val="-9"/>
                <w:sz w:val="24"/>
                <w:szCs w:val="24"/>
                <w:lang w:val="en-US" w:eastAsia="zh-CN"/>
              </w:rPr>
              <w:t>上午9</w:t>
            </w:r>
            <w:r>
              <w:rPr>
                <w:rFonts w:ascii="宋体" w:hAnsi="宋体" w:eastAsia="宋体" w:cs="宋体"/>
                <w:color w:val="FF0000"/>
                <w:spacing w:val="-9"/>
                <w:sz w:val="24"/>
                <w:szCs w:val="24"/>
              </w:rPr>
              <w:t>点</w:t>
            </w:r>
          </w:p>
          <w:p w14:paraId="613DD70C">
            <w:pPr>
              <w:pStyle w:val="14"/>
              <w:spacing w:before="55" w:line="219" w:lineRule="auto"/>
              <w:ind w:left="113"/>
            </w:pPr>
            <w:r>
              <w:rPr>
                <w:spacing w:val="-1"/>
              </w:rPr>
              <w:t>谈判方式：网上谈判，谈判时无需供应商到达现场。</w:t>
            </w:r>
          </w:p>
        </w:tc>
      </w:tr>
      <w:tr w14:paraId="26005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5A7C1DCD">
            <w:pPr>
              <w:pStyle w:val="14"/>
              <w:spacing w:before="98" w:line="183" w:lineRule="auto"/>
              <w:ind w:left="311"/>
            </w:pPr>
            <w:r>
              <w:rPr>
                <w:spacing w:val="-4"/>
              </w:rPr>
              <w:t>6.3</w:t>
            </w:r>
          </w:p>
        </w:tc>
        <w:tc>
          <w:tcPr>
            <w:tcW w:w="1659" w:type="dxa"/>
            <w:vAlign w:val="top"/>
          </w:tcPr>
          <w:p w14:paraId="38AA3722">
            <w:pPr>
              <w:pStyle w:val="14"/>
              <w:spacing w:before="84" w:line="208" w:lineRule="auto"/>
              <w:ind w:left="354"/>
            </w:pPr>
            <w:r>
              <w:rPr>
                <w:spacing w:val="-3"/>
              </w:rPr>
              <w:t>评审方法</w:t>
            </w:r>
          </w:p>
        </w:tc>
        <w:tc>
          <w:tcPr>
            <w:tcW w:w="7158" w:type="dxa"/>
            <w:vAlign w:val="top"/>
          </w:tcPr>
          <w:p w14:paraId="757AB2E4">
            <w:pPr>
              <w:pStyle w:val="14"/>
              <w:spacing w:before="76" w:line="214" w:lineRule="auto"/>
              <w:ind w:left="117"/>
              <w:rPr>
                <w:rFonts w:hint="eastAsia" w:eastAsia="宋体"/>
                <w:lang w:val="en-US" w:eastAsia="zh-CN"/>
              </w:rPr>
            </w:pPr>
            <w:r>
              <w:rPr>
                <w:rFonts w:hint="eastAsia"/>
                <w:lang w:val="en-US" w:eastAsia="zh-CN"/>
              </w:rPr>
              <w:t>综合评标法</w:t>
            </w:r>
          </w:p>
        </w:tc>
      </w:tr>
      <w:tr w14:paraId="4F6E2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2" w:type="dxa"/>
            <w:vAlign w:val="top"/>
          </w:tcPr>
          <w:p w14:paraId="3A6EA358">
            <w:pPr>
              <w:pStyle w:val="14"/>
              <w:spacing w:before="78" w:line="183" w:lineRule="auto"/>
              <w:jc w:val="center"/>
            </w:pPr>
            <w:r>
              <w:rPr>
                <w:spacing w:val="-6"/>
              </w:rPr>
              <w:t>7.3</w:t>
            </w:r>
          </w:p>
        </w:tc>
        <w:tc>
          <w:tcPr>
            <w:tcW w:w="1659" w:type="dxa"/>
            <w:vAlign w:val="top"/>
          </w:tcPr>
          <w:p w14:paraId="35E6BD2A">
            <w:pPr>
              <w:pStyle w:val="14"/>
              <w:spacing w:before="78" w:line="220" w:lineRule="auto"/>
              <w:jc w:val="center"/>
            </w:pPr>
            <w:r>
              <w:rPr>
                <w:spacing w:val="-3"/>
              </w:rPr>
              <w:t>履约保证金</w:t>
            </w:r>
          </w:p>
        </w:tc>
        <w:tc>
          <w:tcPr>
            <w:tcW w:w="7158" w:type="dxa"/>
            <w:vAlign w:val="top"/>
          </w:tcPr>
          <w:p w14:paraId="13F854A8">
            <w:pPr>
              <w:pStyle w:val="14"/>
              <w:spacing w:before="54" w:line="243" w:lineRule="auto"/>
              <w:ind w:left="113" w:right="114" w:firstLine="1"/>
              <w:rPr>
                <w:rFonts w:hint="default" w:eastAsia="宋体"/>
                <w:lang w:val="en-US" w:eastAsia="zh-CN"/>
              </w:rPr>
            </w:pPr>
            <w:r>
              <w:rPr>
                <w:rFonts w:hint="eastAsia"/>
                <w:bCs/>
                <w:lang w:val="en-US" w:eastAsia="zh-CN"/>
              </w:rPr>
              <w:t>成交单位</w:t>
            </w:r>
            <w:r>
              <w:rPr>
                <w:rFonts w:ascii="Times New Roman"/>
                <w:color w:val="000000"/>
              </w:rPr>
              <w:t>签订合同前按照</w:t>
            </w:r>
            <w:r>
              <w:rPr>
                <w:rFonts w:hint="eastAsia" w:ascii="Times New Roman"/>
                <w:color w:val="000000"/>
                <w:lang w:val="en-US" w:eastAsia="zh-CN"/>
              </w:rPr>
              <w:t>成交</w:t>
            </w:r>
            <w:r>
              <w:rPr>
                <w:rFonts w:ascii="Times New Roman"/>
                <w:color w:val="000000"/>
              </w:rPr>
              <w:t>金额的</w:t>
            </w:r>
            <w:r>
              <w:rPr>
                <w:rFonts w:ascii="Times New Roman" w:hAnsi="Times New Roman"/>
                <w:color w:val="000000"/>
              </w:rPr>
              <w:t>5%</w:t>
            </w:r>
            <w:r>
              <w:rPr>
                <w:rFonts w:ascii="Times New Roman"/>
                <w:color w:val="000000"/>
              </w:rPr>
              <w:t>提供履约保证金（银行</w:t>
            </w:r>
            <w:r>
              <w:rPr>
                <w:rFonts w:ascii="Times New Roman" w:hAnsi="Times New Roman"/>
                <w:color w:val="000000"/>
              </w:rPr>
              <w:t xml:space="preserve">                                                                                                                                                                                                                                                                                                                                                                                                                                                                                                                                                                                                                                                                                                                                                                                                                                                                                                                                                                                                                                                                                                                                                                                                                                                                                                                                                                                                                                                                                                                                                                                                                                                                                                                                                                                                                                                                                                                                                                                                                                                                                                                                                                                                                                                                                          </w:t>
            </w:r>
            <w:r>
              <w:rPr>
                <w:rFonts w:ascii="Times New Roman"/>
                <w:color w:val="000000"/>
              </w:rPr>
              <w:t>保函、支票、银行汇票，不收承兑汇票）。如因</w:t>
            </w:r>
            <w:r>
              <w:rPr>
                <w:rFonts w:hint="eastAsia" w:ascii="Times New Roman"/>
                <w:color w:val="000000"/>
                <w:lang w:val="en-US" w:eastAsia="zh-CN"/>
              </w:rPr>
              <w:t>成交单位</w:t>
            </w:r>
            <w:r>
              <w:rPr>
                <w:rFonts w:ascii="Times New Roman"/>
                <w:color w:val="000000"/>
              </w:rPr>
              <w:t>原因不能履约，履约保证金将全部转为赔偿金。履约完毕，验收合格后无息返还。</w:t>
            </w:r>
          </w:p>
        </w:tc>
      </w:tr>
      <w:tr w14:paraId="590FD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962" w:type="dxa"/>
            <w:vAlign w:val="center"/>
          </w:tcPr>
          <w:p w14:paraId="4116AA2F">
            <w:pPr>
              <w:pStyle w:val="14"/>
              <w:spacing w:before="78" w:line="183" w:lineRule="auto"/>
              <w:ind w:firstLine="228" w:firstLineChars="100"/>
            </w:pPr>
            <w:r>
              <w:rPr>
                <w:spacing w:val="-6"/>
              </w:rPr>
              <w:t>7.8</w:t>
            </w:r>
          </w:p>
        </w:tc>
        <w:tc>
          <w:tcPr>
            <w:tcW w:w="1659" w:type="dxa"/>
            <w:vAlign w:val="center"/>
          </w:tcPr>
          <w:p w14:paraId="0C2C2894">
            <w:pPr>
              <w:pStyle w:val="14"/>
              <w:spacing w:before="273" w:line="286" w:lineRule="auto"/>
              <w:ind w:right="348"/>
              <w:jc w:val="center"/>
            </w:pPr>
            <w:r>
              <w:rPr>
                <w:spacing w:val="-4"/>
              </w:rPr>
              <w:t>安全风险</w:t>
            </w:r>
            <w:r>
              <w:rPr>
                <w:spacing w:val="-3"/>
              </w:rPr>
              <w:t>抵押金</w:t>
            </w:r>
          </w:p>
        </w:tc>
        <w:tc>
          <w:tcPr>
            <w:tcW w:w="7158" w:type="dxa"/>
            <w:vAlign w:val="top"/>
          </w:tcPr>
          <w:p w14:paraId="438D1BC5">
            <w:pPr>
              <w:pStyle w:val="14"/>
              <w:spacing w:before="103" w:line="268" w:lineRule="auto"/>
              <w:ind w:left="119" w:right="114" w:hanging="4"/>
              <w:rPr>
                <w:rFonts w:hint="default" w:eastAsia="宋体"/>
                <w:lang w:val="en-US" w:eastAsia="zh-CN"/>
              </w:rPr>
            </w:pPr>
            <w:r>
              <w:rPr>
                <w:rFonts w:hint="eastAsia" w:ascii="Times New Roman"/>
                <w:color w:val="000000"/>
              </w:rPr>
              <w:t>缴纳</w:t>
            </w:r>
            <w:r>
              <w:rPr>
                <w:rFonts w:ascii="Times New Roman"/>
                <w:color w:val="000000"/>
              </w:rPr>
              <w:t>安全风险抵押金</w:t>
            </w:r>
            <w:r>
              <w:rPr>
                <w:rFonts w:hint="eastAsia" w:ascii="Times New Roman"/>
                <w:color w:val="000000"/>
                <w:lang w:eastAsia="zh-CN"/>
              </w:rPr>
              <w:t>：</w:t>
            </w:r>
            <w:r>
              <w:rPr>
                <w:rFonts w:hint="eastAsia" w:ascii="Times New Roman"/>
                <w:color w:val="000000"/>
                <w:lang w:val="en-US" w:eastAsia="zh-CN"/>
              </w:rPr>
              <w:t>贰万元</w:t>
            </w:r>
            <w:r>
              <w:rPr>
                <w:rFonts w:ascii="Times New Roman"/>
                <w:color w:val="000000"/>
              </w:rPr>
              <w:t>（银行保函、支票                                                                                                                                                                                                                                                                                                                                                                                                                                                                                                                                                                                                                                                                                                                                                                                                                                                                                                                                                                                                                                                                                                                                                                                                                                                                                                                                                                                                                                                                                                                                                                                                                                                                                                                                                                                                                                                                                                                                                                                                                                                                                                                                                                                                                                         银行汇票，不收承兑汇票）。施工过程中</w:t>
            </w:r>
            <w:r>
              <w:rPr>
                <w:rFonts w:hint="eastAsia" w:ascii="Times New Roman"/>
                <w:color w:val="000000"/>
              </w:rPr>
              <w:t>，</w:t>
            </w:r>
            <w:r>
              <w:rPr>
                <w:rFonts w:hint="eastAsia" w:ascii="Times New Roman"/>
                <w:color w:val="000000"/>
                <w:lang w:val="en-US" w:eastAsia="zh-CN"/>
              </w:rPr>
              <w:t>成交单位</w:t>
            </w:r>
            <w:r>
              <w:rPr>
                <w:rFonts w:ascii="Times New Roman"/>
                <w:color w:val="000000"/>
              </w:rPr>
              <w:t>违反</w:t>
            </w:r>
            <w:r>
              <w:rPr>
                <w:rFonts w:hint="eastAsia" w:ascii="Times New Roman"/>
                <w:color w:val="000000"/>
                <w:lang w:val="en-US" w:eastAsia="zh-CN"/>
              </w:rPr>
              <w:t>采购</w:t>
            </w:r>
            <w:r>
              <w:rPr>
                <w:rFonts w:ascii="Times New Roman"/>
                <w:color w:val="000000"/>
              </w:rPr>
              <w:t>人安全管理规定</w:t>
            </w:r>
            <w:r>
              <w:rPr>
                <w:rFonts w:hint="eastAsia" w:ascii="Times New Roman"/>
                <w:color w:val="000000"/>
              </w:rPr>
              <w:t>，</w:t>
            </w:r>
            <w:r>
              <w:rPr>
                <w:rFonts w:ascii="Times New Roman"/>
                <w:color w:val="000000"/>
              </w:rPr>
              <w:t>按照相应标准处罚</w:t>
            </w:r>
            <w:r>
              <w:rPr>
                <w:rFonts w:hint="eastAsia" w:ascii="Times New Roman"/>
                <w:color w:val="000000"/>
              </w:rPr>
              <w:t>。</w:t>
            </w:r>
            <w:r>
              <w:rPr>
                <w:rFonts w:ascii="Times New Roman"/>
                <w:color w:val="000000"/>
              </w:rPr>
              <w:t>履约完毕，</w:t>
            </w:r>
            <w:r>
              <w:rPr>
                <w:rFonts w:hint="eastAsia" w:ascii="Times New Roman"/>
                <w:color w:val="000000"/>
              </w:rPr>
              <w:t>剩余</w:t>
            </w:r>
            <w:r>
              <w:rPr>
                <w:rFonts w:ascii="Times New Roman"/>
                <w:color w:val="000000"/>
              </w:rPr>
              <w:t>部分无息返还。</w:t>
            </w:r>
          </w:p>
        </w:tc>
      </w:tr>
      <w:tr w14:paraId="58DC8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962" w:type="dxa"/>
            <w:vAlign w:val="top"/>
          </w:tcPr>
          <w:p w14:paraId="48D4B711">
            <w:pPr>
              <w:spacing w:line="343" w:lineRule="auto"/>
              <w:rPr>
                <w:rFonts w:ascii="Arial"/>
                <w:sz w:val="21"/>
              </w:rPr>
            </w:pPr>
          </w:p>
          <w:p w14:paraId="2B944F9D">
            <w:pPr>
              <w:spacing w:line="344" w:lineRule="auto"/>
              <w:rPr>
                <w:rFonts w:ascii="Arial"/>
                <w:sz w:val="21"/>
              </w:rPr>
            </w:pPr>
          </w:p>
          <w:p w14:paraId="02CDC35B">
            <w:pPr>
              <w:pStyle w:val="14"/>
              <w:spacing w:before="78" w:line="184" w:lineRule="auto"/>
              <w:ind w:left="310"/>
            </w:pPr>
            <w:r>
              <w:rPr>
                <w:spacing w:val="-4"/>
              </w:rPr>
              <w:t>8.1</w:t>
            </w:r>
          </w:p>
        </w:tc>
        <w:tc>
          <w:tcPr>
            <w:tcW w:w="1659" w:type="dxa"/>
            <w:vAlign w:val="top"/>
          </w:tcPr>
          <w:p w14:paraId="644BEC31">
            <w:pPr>
              <w:spacing w:line="336" w:lineRule="auto"/>
              <w:rPr>
                <w:rFonts w:ascii="Arial"/>
                <w:sz w:val="21"/>
              </w:rPr>
            </w:pPr>
          </w:p>
          <w:p w14:paraId="725A0493">
            <w:pPr>
              <w:spacing w:line="336" w:lineRule="auto"/>
              <w:rPr>
                <w:rFonts w:ascii="Arial"/>
                <w:sz w:val="21"/>
              </w:rPr>
            </w:pPr>
          </w:p>
          <w:p w14:paraId="7DCBCCBA">
            <w:pPr>
              <w:pStyle w:val="14"/>
              <w:spacing w:before="78" w:line="220" w:lineRule="auto"/>
              <w:ind w:left="356"/>
            </w:pPr>
            <w:r>
              <w:rPr>
                <w:spacing w:val="-3"/>
              </w:rPr>
              <w:t>重新谈判</w:t>
            </w:r>
          </w:p>
        </w:tc>
        <w:tc>
          <w:tcPr>
            <w:tcW w:w="7158" w:type="dxa"/>
            <w:vAlign w:val="top"/>
          </w:tcPr>
          <w:p w14:paraId="3A8E03EB">
            <w:pPr>
              <w:pStyle w:val="14"/>
              <w:spacing w:before="70" w:line="219" w:lineRule="auto"/>
              <w:ind w:left="115"/>
            </w:pPr>
            <w:r>
              <w:rPr>
                <w:spacing w:val="-1"/>
              </w:rPr>
              <w:t>有下列情形之一的，采购人将重新谈判</w:t>
            </w:r>
          </w:p>
          <w:p w14:paraId="13BD7A33">
            <w:pPr>
              <w:pStyle w:val="14"/>
              <w:spacing w:before="53" w:line="219" w:lineRule="auto"/>
              <w:ind w:left="132"/>
            </w:pPr>
            <w:r>
              <w:rPr>
                <w:spacing w:val="-2"/>
              </w:rPr>
              <w:t>1.截至到谈判开始时间，提交响应文件的供应商少于</w:t>
            </w:r>
            <w:r>
              <w:rPr>
                <w:spacing w:val="-42"/>
              </w:rPr>
              <w:t xml:space="preserve"> </w:t>
            </w:r>
            <w:r>
              <w:rPr>
                <w:spacing w:val="-2"/>
              </w:rPr>
              <w:t>3</w:t>
            </w:r>
            <w:r>
              <w:rPr>
                <w:spacing w:val="-51"/>
              </w:rPr>
              <w:t xml:space="preserve"> </w:t>
            </w:r>
            <w:r>
              <w:rPr>
                <w:spacing w:val="-2"/>
              </w:rPr>
              <w:t>个的；</w:t>
            </w:r>
          </w:p>
          <w:p w14:paraId="477BFCD2">
            <w:pPr>
              <w:pStyle w:val="14"/>
              <w:spacing w:before="56" w:line="249" w:lineRule="auto"/>
              <w:ind w:left="117" w:right="114"/>
            </w:pPr>
            <w:r>
              <w:rPr>
                <w:spacing w:val="-2"/>
              </w:rPr>
              <w:t>2.经评审委员会评审，否决部分供应商响应文件后少于</w:t>
            </w:r>
            <w:r>
              <w:rPr>
                <w:spacing w:val="-45"/>
              </w:rPr>
              <w:t xml:space="preserve"> </w:t>
            </w:r>
            <w:r>
              <w:rPr>
                <w:spacing w:val="-2"/>
              </w:rPr>
              <w:t>3</w:t>
            </w:r>
            <w:r>
              <w:rPr>
                <w:spacing w:val="-51"/>
              </w:rPr>
              <w:t xml:space="preserve"> </w:t>
            </w:r>
            <w:r>
              <w:rPr>
                <w:spacing w:val="-3"/>
              </w:rPr>
              <w:t>个，缺乏</w:t>
            </w:r>
            <w:r>
              <w:t xml:space="preserve"> </w:t>
            </w:r>
            <w:r>
              <w:rPr>
                <w:spacing w:val="-3"/>
              </w:rPr>
              <w:t>竞争性的；</w:t>
            </w:r>
          </w:p>
          <w:p w14:paraId="5554E3FB">
            <w:pPr>
              <w:pStyle w:val="14"/>
              <w:spacing w:before="31" w:line="204" w:lineRule="auto"/>
              <w:ind w:left="119"/>
            </w:pPr>
            <w:r>
              <w:rPr>
                <w:spacing w:val="-1"/>
              </w:rPr>
              <w:t>3.经评审委员会评审否决所有响应文件的。</w:t>
            </w:r>
          </w:p>
        </w:tc>
      </w:tr>
      <w:tr w14:paraId="5413E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962" w:type="dxa"/>
            <w:vAlign w:val="top"/>
          </w:tcPr>
          <w:p w14:paraId="58C001AA">
            <w:pPr>
              <w:pStyle w:val="14"/>
              <w:spacing w:before="296" w:line="184" w:lineRule="auto"/>
              <w:ind w:left="266"/>
            </w:pPr>
            <w:r>
              <w:rPr>
                <w:spacing w:val="-7"/>
              </w:rPr>
              <w:t>10.1</w:t>
            </w:r>
          </w:p>
        </w:tc>
        <w:tc>
          <w:tcPr>
            <w:tcW w:w="8817" w:type="dxa"/>
            <w:gridSpan w:val="2"/>
            <w:vAlign w:val="top"/>
          </w:tcPr>
          <w:p w14:paraId="3EDA322D">
            <w:pPr>
              <w:pStyle w:val="14"/>
              <w:spacing w:before="106" w:line="246" w:lineRule="auto"/>
              <w:ind w:left="111" w:right="114"/>
            </w:pPr>
            <w:r>
              <w:rPr>
                <w:spacing w:val="-2"/>
              </w:rPr>
              <w:t>在任何评审环节中，需评审委员会就某项定性的评审结论做出表决的，由评审委员</w:t>
            </w:r>
            <w:r>
              <w:rPr>
                <w:spacing w:val="16"/>
              </w:rPr>
              <w:t xml:space="preserve"> </w:t>
            </w:r>
            <w:r>
              <w:rPr>
                <w:spacing w:val="-1"/>
              </w:rPr>
              <w:t>会全体成员按照少数服从多数的原则，以记名投票方式表决。</w:t>
            </w:r>
          </w:p>
        </w:tc>
      </w:tr>
      <w:tr w14:paraId="09C4C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962" w:type="dxa"/>
            <w:vAlign w:val="top"/>
          </w:tcPr>
          <w:p w14:paraId="3C8ADDE7">
            <w:pPr>
              <w:pStyle w:val="14"/>
              <w:spacing w:before="298" w:line="184" w:lineRule="auto"/>
              <w:ind w:left="266"/>
            </w:pPr>
            <w:r>
              <w:rPr>
                <w:spacing w:val="-7"/>
              </w:rPr>
              <w:t>10.2</w:t>
            </w:r>
          </w:p>
        </w:tc>
        <w:tc>
          <w:tcPr>
            <w:tcW w:w="8817" w:type="dxa"/>
            <w:gridSpan w:val="2"/>
            <w:vAlign w:val="top"/>
          </w:tcPr>
          <w:p w14:paraId="65ED72C8">
            <w:pPr>
              <w:pStyle w:val="14"/>
              <w:spacing w:before="108" w:line="219" w:lineRule="auto"/>
              <w:ind w:left="112"/>
            </w:pPr>
            <w:r>
              <w:rPr>
                <w:spacing w:val="-3"/>
              </w:rPr>
              <w:t>供应商认为谈判文件中有限制、排斥供应商</w:t>
            </w:r>
            <w:r>
              <w:rPr>
                <w:spacing w:val="-4"/>
              </w:rPr>
              <w:t>情形的，应当在谈判开始时间</w:t>
            </w:r>
            <w:r>
              <w:rPr>
                <w:spacing w:val="-47"/>
              </w:rPr>
              <w:t xml:space="preserve"> </w:t>
            </w:r>
            <w:r>
              <w:rPr>
                <w:spacing w:val="-4"/>
              </w:rPr>
              <w:t>2 日前向</w:t>
            </w:r>
          </w:p>
          <w:p w14:paraId="65591F28">
            <w:pPr>
              <w:pStyle w:val="14"/>
              <w:spacing w:before="53" w:line="219" w:lineRule="auto"/>
              <w:ind w:left="111"/>
              <w:outlineLvl w:val="0"/>
            </w:pPr>
            <w:r>
              <w:t>采购人书面提出，未在规定时间内提出异议的，视</w:t>
            </w:r>
            <w:r>
              <w:rPr>
                <w:spacing w:val="-1"/>
              </w:rPr>
              <w:t>为对谈判文件无异议。</w:t>
            </w:r>
          </w:p>
        </w:tc>
      </w:tr>
    </w:tbl>
    <w:p w14:paraId="5D29FAAB">
      <w:pPr>
        <w:pStyle w:val="7"/>
      </w:pPr>
    </w:p>
    <w:p w14:paraId="70ACB408">
      <w:pPr>
        <w:sectPr>
          <w:footerReference r:id="rId7" w:type="default"/>
          <w:pgSz w:w="11906" w:h="16839"/>
          <w:pgMar w:top="1418" w:right="1057" w:bottom="1156" w:left="1063" w:header="0" w:footer="994" w:gutter="0"/>
          <w:cols w:space="720" w:num="1"/>
        </w:sectPr>
      </w:pPr>
    </w:p>
    <w:p w14:paraId="1ACDDB40">
      <w:pPr>
        <w:pStyle w:val="20"/>
        <w:rPr>
          <w:rStyle w:val="21"/>
          <w:b/>
          <w:bCs w:val="0"/>
          <w:sz w:val="32"/>
          <w:szCs w:val="32"/>
        </w:rPr>
      </w:pPr>
      <w:r>
        <w:rPr>
          <w:rFonts w:hint="eastAsia"/>
          <w:b/>
          <w:bCs w:val="0"/>
          <w:sz w:val="32"/>
          <w:szCs w:val="32"/>
          <w:lang w:val="en-US" w:eastAsia="zh-CN"/>
        </w:rPr>
        <w:t>谈判</w:t>
      </w:r>
      <w:r>
        <w:rPr>
          <w:rFonts w:hint="eastAsia"/>
          <w:b/>
          <w:bCs w:val="0"/>
          <w:sz w:val="32"/>
          <w:szCs w:val="32"/>
        </w:rPr>
        <w:t>须知正文部分</w:t>
      </w:r>
    </w:p>
    <w:p w14:paraId="38C96A0D">
      <w:pPr>
        <w:pStyle w:val="15"/>
        <w:rPr>
          <w:rStyle w:val="21"/>
          <w:b/>
          <w:bCs/>
        </w:rPr>
      </w:pPr>
      <w:bookmarkStart w:id="0" w:name="_Toc507936013"/>
      <w:bookmarkStart w:id="1" w:name="_Toc506105818"/>
      <w:r>
        <w:rPr>
          <w:rStyle w:val="21"/>
          <w:rFonts w:hint="eastAsia"/>
          <w:b/>
          <w:bCs w:val="0"/>
        </w:rPr>
        <w:t>1.总则</w:t>
      </w:r>
      <w:bookmarkEnd w:id="0"/>
      <w:bookmarkEnd w:id="1"/>
    </w:p>
    <w:p w14:paraId="683CA0F4">
      <w:pPr>
        <w:pStyle w:val="22"/>
      </w:pPr>
      <w:bookmarkStart w:id="2" w:name="_Toc507936014"/>
      <w:bookmarkStart w:id="3" w:name="_Toc506105819"/>
      <w:r>
        <w:rPr>
          <w:rFonts w:hint="eastAsia"/>
        </w:rPr>
        <w:t>1.1 项目概况</w:t>
      </w:r>
      <w:bookmarkEnd w:id="2"/>
      <w:bookmarkEnd w:id="3"/>
    </w:p>
    <w:p w14:paraId="43CEE429">
      <w:pPr>
        <w:pStyle w:val="23"/>
        <w:keepNext w:val="0"/>
        <w:keepLines w:val="0"/>
        <w:spacing w:before="0" w:line="360" w:lineRule="auto"/>
        <w:ind w:firstLine="480" w:firstLineChars="200"/>
        <w:rPr>
          <w:szCs w:val="28"/>
        </w:rPr>
      </w:pPr>
      <w:r>
        <w:rPr>
          <w:rFonts w:hint="eastAsia" w:ascii="宋体" w:hAnsi="宋体" w:cs="仿宋"/>
          <w:sz w:val="24"/>
        </w:rPr>
        <w:t>1.1.</w:t>
      </w:r>
      <w:r>
        <w:rPr>
          <w:rFonts w:hint="eastAsia" w:ascii="宋体" w:hAnsi="宋体" w:cs="仿宋"/>
          <w:sz w:val="24"/>
          <w:lang w:eastAsia="zh-CN"/>
        </w:rPr>
        <w:t>1</w:t>
      </w:r>
      <w:r>
        <w:rPr>
          <w:rFonts w:hint="eastAsia" w:ascii="宋体" w:hAnsi="宋体" w:cs="仿宋"/>
          <w:sz w:val="24"/>
        </w:rPr>
        <w:t xml:space="preserve"> </w:t>
      </w:r>
      <w:r>
        <w:rPr>
          <w:rFonts w:hint="eastAsia" w:ascii="宋体" w:hAnsi="宋体" w:eastAsia="宋体" w:cs="仿宋"/>
          <w:kern w:val="2"/>
          <w:sz w:val="24"/>
          <w:szCs w:val="24"/>
          <w:lang w:val="en-US" w:eastAsia="zh-CN"/>
        </w:rPr>
        <w:t>采购人：</w:t>
      </w:r>
      <w:r>
        <w:rPr>
          <w:rFonts w:hint="eastAsia" w:ascii="宋体" w:hAnsi="宋体" w:eastAsia="宋体" w:cs="仿宋"/>
          <w:b w:val="0"/>
          <w:bCs w:val="0"/>
          <w:sz w:val="24"/>
          <w:szCs w:val="24"/>
          <w:lang w:val="en-US" w:eastAsia="zh-CN" w:bidi="ar-SA"/>
        </w:rPr>
        <w:t>详见谈判</w:t>
      </w:r>
      <w:r>
        <w:rPr>
          <w:rFonts w:hint="eastAsia" w:ascii="宋体" w:hAnsi="宋体" w:eastAsia="宋体" w:cs="仿宋"/>
          <w:kern w:val="2"/>
          <w:sz w:val="24"/>
          <w:szCs w:val="24"/>
          <w:lang w:val="en-US" w:eastAsia="zh-CN"/>
        </w:rPr>
        <w:t>须知前附表</w:t>
      </w:r>
    </w:p>
    <w:p w14:paraId="071C46C1">
      <w:pPr>
        <w:spacing w:line="360" w:lineRule="auto"/>
        <w:ind w:firstLine="480" w:firstLineChars="200"/>
        <w:rPr>
          <w:rFonts w:hint="eastAsia" w:ascii="宋体" w:hAnsi="宋体" w:cs="仿宋"/>
          <w:sz w:val="24"/>
        </w:rPr>
      </w:pPr>
      <w:r>
        <w:rPr>
          <w:rFonts w:hint="eastAsia" w:ascii="宋体" w:hAnsi="宋体" w:cs="仿宋"/>
          <w:sz w:val="24"/>
        </w:rPr>
        <w:t xml:space="preserve">1.1.2 </w:t>
      </w:r>
      <w:r>
        <w:rPr>
          <w:rFonts w:hint="eastAsia" w:cs="仿宋"/>
          <w:sz w:val="24"/>
          <w:lang w:val="en-US" w:eastAsia="zh-CN"/>
        </w:rPr>
        <w:t>采购</w:t>
      </w:r>
      <w:r>
        <w:rPr>
          <w:rFonts w:hint="eastAsia" w:ascii="宋体" w:hAnsi="宋体" w:cs="仿宋"/>
          <w:sz w:val="24"/>
        </w:rPr>
        <w:t>项目名称：详见</w:t>
      </w:r>
      <w:r>
        <w:rPr>
          <w:rFonts w:hint="eastAsia" w:cs="仿宋"/>
          <w:sz w:val="24"/>
          <w:lang w:val="en-US" w:eastAsia="zh-CN"/>
        </w:rPr>
        <w:t>谈判</w:t>
      </w:r>
      <w:r>
        <w:rPr>
          <w:rFonts w:hint="eastAsia" w:ascii="宋体" w:hAnsi="宋体" w:cs="仿宋"/>
          <w:sz w:val="24"/>
        </w:rPr>
        <w:t>须知前附表</w:t>
      </w:r>
    </w:p>
    <w:p w14:paraId="22B08619">
      <w:pPr>
        <w:spacing w:line="360" w:lineRule="auto"/>
        <w:ind w:firstLine="480" w:firstLineChars="200"/>
        <w:rPr>
          <w:rFonts w:ascii="宋体" w:hAnsi="宋体" w:cs="仿宋"/>
          <w:sz w:val="24"/>
        </w:rPr>
      </w:pPr>
      <w:r>
        <w:rPr>
          <w:rFonts w:hint="eastAsia" w:ascii="宋体" w:hAnsi="宋体" w:cs="仿宋"/>
          <w:sz w:val="24"/>
        </w:rPr>
        <w:t>1.1.3</w:t>
      </w:r>
      <w:r>
        <w:rPr>
          <w:rFonts w:hint="eastAsia" w:cs="仿宋"/>
          <w:sz w:val="24"/>
          <w:lang w:val="en-US" w:eastAsia="zh-CN"/>
        </w:rPr>
        <w:t>项目</w:t>
      </w:r>
      <w:r>
        <w:rPr>
          <w:rFonts w:hint="eastAsia" w:ascii="宋体" w:hAnsi="宋体" w:cs="仿宋"/>
          <w:sz w:val="24"/>
        </w:rPr>
        <w:t>概况: 详见</w:t>
      </w:r>
      <w:r>
        <w:rPr>
          <w:rFonts w:hint="eastAsia" w:cs="仿宋"/>
          <w:sz w:val="24"/>
          <w:lang w:val="en-US" w:eastAsia="zh-CN"/>
        </w:rPr>
        <w:t>谈判</w:t>
      </w:r>
      <w:r>
        <w:rPr>
          <w:rFonts w:hint="eastAsia" w:ascii="宋体" w:hAnsi="宋体" w:cs="仿宋"/>
          <w:sz w:val="24"/>
        </w:rPr>
        <w:t>须知前附表</w:t>
      </w:r>
    </w:p>
    <w:p w14:paraId="5C518BA0">
      <w:pPr>
        <w:spacing w:line="360" w:lineRule="auto"/>
        <w:ind w:firstLine="480" w:firstLineChars="200"/>
        <w:rPr>
          <w:rFonts w:ascii="宋体" w:hAnsi="宋体" w:cs="仿宋"/>
          <w:sz w:val="24"/>
        </w:rPr>
      </w:pPr>
      <w:r>
        <w:rPr>
          <w:rFonts w:hint="eastAsia" w:ascii="宋体" w:hAnsi="宋体" w:cs="仿宋"/>
          <w:sz w:val="24"/>
        </w:rPr>
        <w:t>1.1.4 项目地点：详见</w:t>
      </w:r>
      <w:r>
        <w:rPr>
          <w:rFonts w:hint="eastAsia" w:cs="仿宋"/>
          <w:sz w:val="24"/>
          <w:lang w:val="en-US" w:eastAsia="zh-CN"/>
        </w:rPr>
        <w:t>谈判</w:t>
      </w:r>
      <w:r>
        <w:rPr>
          <w:rFonts w:hint="eastAsia" w:ascii="宋体" w:hAnsi="宋体" w:cs="仿宋"/>
          <w:sz w:val="24"/>
        </w:rPr>
        <w:t>须知前附表</w:t>
      </w:r>
    </w:p>
    <w:p w14:paraId="1828E105">
      <w:pPr>
        <w:pStyle w:val="22"/>
      </w:pPr>
      <w:bookmarkStart w:id="4" w:name="_Toc247513954"/>
      <w:bookmarkStart w:id="5" w:name="_Toc328559028"/>
      <w:bookmarkStart w:id="6" w:name="_Toc25497"/>
      <w:bookmarkStart w:id="7" w:name="_Toc506105820"/>
      <w:bookmarkStart w:id="8" w:name="_Toc247527555"/>
      <w:bookmarkStart w:id="9" w:name="_Toc300834951"/>
      <w:bookmarkStart w:id="10" w:name="_Toc27657"/>
      <w:bookmarkStart w:id="11" w:name="_Toc507936015"/>
      <w:r>
        <w:rPr>
          <w:rFonts w:hint="eastAsia"/>
        </w:rPr>
        <w:t>1.2 项目资金来源</w:t>
      </w:r>
      <w:bookmarkEnd w:id="4"/>
      <w:bookmarkEnd w:id="5"/>
      <w:bookmarkEnd w:id="6"/>
      <w:bookmarkEnd w:id="7"/>
      <w:bookmarkEnd w:id="8"/>
      <w:bookmarkEnd w:id="9"/>
      <w:bookmarkEnd w:id="10"/>
      <w:r>
        <w:rPr>
          <w:rFonts w:hint="eastAsia"/>
        </w:rPr>
        <w:t>、</w:t>
      </w:r>
      <w:r>
        <w:rPr>
          <w:rFonts w:hint="eastAsia"/>
          <w:lang w:val="en-US" w:eastAsia="zh-CN"/>
        </w:rPr>
        <w:t>采购人</w:t>
      </w:r>
      <w:r>
        <w:rPr>
          <w:rFonts w:hint="eastAsia"/>
        </w:rPr>
        <w:t>式、</w:t>
      </w:r>
      <w:r>
        <w:rPr>
          <w:rFonts w:hint="eastAsia"/>
          <w:lang w:val="en-US" w:eastAsia="zh-CN"/>
        </w:rPr>
        <w:t>采购</w:t>
      </w:r>
      <w:r>
        <w:rPr>
          <w:rFonts w:hint="eastAsia"/>
        </w:rPr>
        <w:t>控价</w:t>
      </w:r>
      <w:bookmarkEnd w:id="11"/>
    </w:p>
    <w:p w14:paraId="3932A4F6">
      <w:pPr>
        <w:spacing w:line="360" w:lineRule="auto"/>
        <w:ind w:firstLine="480" w:firstLineChars="200"/>
        <w:rPr>
          <w:rFonts w:hint="eastAsia" w:ascii="宋体" w:hAnsi="宋体" w:cs="仿宋"/>
          <w:sz w:val="24"/>
        </w:rPr>
      </w:pPr>
      <w:r>
        <w:rPr>
          <w:rFonts w:hint="eastAsia" w:ascii="宋体" w:hAnsi="宋体" w:cs="仿宋"/>
          <w:sz w:val="24"/>
        </w:rPr>
        <w:t>1.2.1 项目资金来源：</w:t>
      </w:r>
      <w:bookmarkStart w:id="12" w:name="_Toc247527556"/>
      <w:bookmarkStart w:id="13" w:name="_Toc16572"/>
      <w:bookmarkStart w:id="14" w:name="_Toc328559029"/>
      <w:bookmarkStart w:id="15" w:name="_Toc30612"/>
      <w:bookmarkStart w:id="16" w:name="_Toc300834952"/>
      <w:bookmarkStart w:id="17" w:name="_Toc247513955"/>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51F952D7">
      <w:pPr>
        <w:spacing w:line="360" w:lineRule="auto"/>
        <w:ind w:firstLine="480" w:firstLineChars="200"/>
        <w:rPr>
          <w:rFonts w:hint="eastAsia" w:ascii="宋体" w:hAnsi="宋体" w:cs="仿宋"/>
          <w:sz w:val="24"/>
        </w:rPr>
      </w:pPr>
      <w:r>
        <w:rPr>
          <w:rFonts w:hint="eastAsia" w:ascii="宋体" w:hAnsi="宋体" w:cs="仿宋"/>
          <w:sz w:val="24"/>
        </w:rPr>
        <w:t>1.2.2</w:t>
      </w:r>
      <w:r>
        <w:rPr>
          <w:rFonts w:hint="eastAsia" w:cs="仿宋"/>
          <w:sz w:val="24"/>
          <w:lang w:val="en-US" w:eastAsia="zh-CN"/>
        </w:rPr>
        <w:t>采购人</w:t>
      </w:r>
      <w:r>
        <w:rPr>
          <w:rFonts w:hint="eastAsia" w:ascii="宋体" w:hAnsi="宋体" w:cs="仿宋"/>
          <w:sz w:val="24"/>
        </w:rPr>
        <w:t>式：详见</w:t>
      </w:r>
      <w:r>
        <w:rPr>
          <w:rFonts w:hint="eastAsia" w:cs="仿宋"/>
          <w:sz w:val="24"/>
          <w:lang w:val="en-US" w:eastAsia="zh-CN"/>
        </w:rPr>
        <w:t>谈判</w:t>
      </w:r>
      <w:r>
        <w:rPr>
          <w:rFonts w:hint="eastAsia" w:ascii="宋体" w:hAnsi="宋体" w:cs="仿宋"/>
          <w:sz w:val="24"/>
        </w:rPr>
        <w:t>须知前附表</w:t>
      </w:r>
    </w:p>
    <w:p w14:paraId="11943D58">
      <w:pPr>
        <w:pStyle w:val="2"/>
        <w:ind w:left="0" w:leftChars="0" w:firstLine="480" w:firstLineChars="200"/>
        <w:rPr>
          <w:rFonts w:hint="eastAsia" w:eastAsia="宋体"/>
          <w:lang w:val="en-US" w:eastAsia="zh-CN"/>
        </w:rPr>
      </w:pPr>
      <w:r>
        <w:rPr>
          <w:rFonts w:hint="eastAsia" w:ascii="宋体" w:hAnsi="宋体" w:cs="仿宋"/>
          <w:sz w:val="24"/>
          <w:lang w:val="en-US" w:eastAsia="zh-CN"/>
        </w:rPr>
        <w:t>1.2.3</w:t>
      </w:r>
      <w:r>
        <w:rPr>
          <w:rFonts w:hint="eastAsia"/>
          <w:lang w:val="en-US" w:eastAsia="zh-CN"/>
        </w:rPr>
        <w:t>采购</w:t>
      </w:r>
      <w:r>
        <w:rPr>
          <w:rFonts w:hint="eastAsia"/>
        </w:rPr>
        <w:t>控价</w:t>
      </w:r>
      <w:r>
        <w:rPr>
          <w:rFonts w:hint="eastAsia"/>
          <w:lang w:eastAsia="zh-CN"/>
        </w:rPr>
        <w:t>：</w:t>
      </w: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0CE2F5AC">
      <w:pPr>
        <w:pStyle w:val="22"/>
      </w:pPr>
      <w:bookmarkStart w:id="18" w:name="_Toc506105821"/>
      <w:bookmarkStart w:id="19" w:name="_Toc507936016"/>
      <w:r>
        <w:rPr>
          <w:rFonts w:hint="eastAsia"/>
        </w:rPr>
        <w:t xml:space="preserve">1.3 </w:t>
      </w:r>
      <w:r>
        <w:rPr>
          <w:rFonts w:hint="eastAsia"/>
          <w:lang w:val="en-US" w:eastAsia="zh-CN"/>
        </w:rPr>
        <w:t>采购</w:t>
      </w:r>
      <w:r>
        <w:rPr>
          <w:rFonts w:hint="eastAsia"/>
        </w:rPr>
        <w:t>范围、供货周期、</w:t>
      </w:r>
      <w:bookmarkEnd w:id="12"/>
      <w:bookmarkEnd w:id="13"/>
      <w:bookmarkEnd w:id="14"/>
      <w:bookmarkEnd w:id="15"/>
      <w:bookmarkEnd w:id="16"/>
      <w:bookmarkEnd w:id="17"/>
      <w:bookmarkEnd w:id="18"/>
      <w:r>
        <w:rPr>
          <w:rFonts w:hint="eastAsia"/>
          <w:lang w:val="en-US" w:eastAsia="zh-CN"/>
        </w:rPr>
        <w:t>交货地点</w:t>
      </w:r>
      <w:r>
        <w:rPr>
          <w:rFonts w:hint="eastAsia"/>
        </w:rPr>
        <w:t>和质保期</w:t>
      </w:r>
      <w:bookmarkEnd w:id="19"/>
    </w:p>
    <w:p w14:paraId="7C2995D8">
      <w:pPr>
        <w:tabs>
          <w:tab w:val="left" w:pos="220"/>
        </w:tabs>
        <w:snapToGrid w:val="0"/>
        <w:spacing w:line="360" w:lineRule="auto"/>
        <w:ind w:firstLine="480" w:firstLineChars="200"/>
        <w:rPr>
          <w:rFonts w:ascii="宋体" w:hAnsi="宋体" w:cs="仿宋"/>
          <w:sz w:val="24"/>
        </w:rPr>
      </w:pPr>
      <w:r>
        <w:rPr>
          <w:rFonts w:hint="eastAsia" w:ascii="宋体" w:hAnsi="宋体" w:cs="仿宋"/>
          <w:sz w:val="24"/>
        </w:rPr>
        <w:t xml:space="preserve">1.3.1 </w:t>
      </w:r>
      <w:r>
        <w:rPr>
          <w:rFonts w:hint="eastAsia" w:cs="仿宋"/>
          <w:sz w:val="24"/>
          <w:lang w:val="en-US" w:eastAsia="zh-CN"/>
        </w:rPr>
        <w:t>采购</w:t>
      </w:r>
      <w:r>
        <w:rPr>
          <w:rFonts w:hint="eastAsia" w:ascii="宋体" w:hAnsi="宋体" w:cs="仿宋"/>
          <w:sz w:val="24"/>
        </w:rPr>
        <w:t>范围：详见</w:t>
      </w:r>
      <w:r>
        <w:rPr>
          <w:rFonts w:hint="eastAsia" w:cs="仿宋"/>
          <w:sz w:val="24"/>
          <w:lang w:val="en-US" w:eastAsia="zh-CN"/>
        </w:rPr>
        <w:t>谈判</w:t>
      </w:r>
      <w:r>
        <w:rPr>
          <w:rFonts w:hint="eastAsia" w:ascii="宋体" w:hAnsi="宋体" w:cs="仿宋"/>
          <w:sz w:val="24"/>
        </w:rPr>
        <w:t>须知前附表</w:t>
      </w:r>
    </w:p>
    <w:p w14:paraId="7F398DE5">
      <w:pPr>
        <w:spacing w:line="360" w:lineRule="auto"/>
        <w:ind w:firstLine="480" w:firstLineChars="200"/>
        <w:rPr>
          <w:rFonts w:hint="eastAsia" w:ascii="宋体" w:hAnsi="宋体" w:cs="仿宋"/>
          <w:sz w:val="24"/>
        </w:rPr>
      </w:pPr>
      <w:r>
        <w:rPr>
          <w:rFonts w:hint="eastAsia" w:ascii="宋体" w:hAnsi="宋体" w:cs="仿宋"/>
          <w:sz w:val="24"/>
        </w:rPr>
        <w:t>1.3.2 供货周期：详见</w:t>
      </w:r>
      <w:r>
        <w:rPr>
          <w:rFonts w:hint="eastAsia" w:cs="仿宋"/>
          <w:sz w:val="24"/>
          <w:lang w:val="en-US" w:eastAsia="zh-CN"/>
        </w:rPr>
        <w:t>谈判</w:t>
      </w:r>
      <w:r>
        <w:rPr>
          <w:rFonts w:hint="eastAsia" w:ascii="宋体" w:hAnsi="宋体" w:cs="仿宋"/>
          <w:sz w:val="24"/>
        </w:rPr>
        <w:t>须知前附表</w:t>
      </w:r>
    </w:p>
    <w:p w14:paraId="51DEA558">
      <w:pPr>
        <w:spacing w:line="360" w:lineRule="auto"/>
        <w:ind w:firstLine="480" w:firstLineChars="200"/>
        <w:rPr>
          <w:rFonts w:hint="eastAsia" w:ascii="宋体" w:hAnsi="宋体" w:cs="仿宋"/>
          <w:sz w:val="24"/>
        </w:rPr>
      </w:pPr>
      <w:r>
        <w:rPr>
          <w:rFonts w:hint="eastAsia" w:ascii="宋体" w:hAnsi="宋体" w:cs="仿宋"/>
          <w:sz w:val="24"/>
        </w:rPr>
        <w:t>1.3.3 交货地点：详见</w:t>
      </w:r>
      <w:r>
        <w:rPr>
          <w:rFonts w:hint="eastAsia" w:cs="仿宋"/>
          <w:sz w:val="24"/>
          <w:lang w:val="en-US" w:eastAsia="zh-CN"/>
        </w:rPr>
        <w:t>谈判</w:t>
      </w:r>
      <w:r>
        <w:rPr>
          <w:rFonts w:hint="eastAsia" w:ascii="宋体" w:hAnsi="宋体" w:cs="仿宋"/>
          <w:sz w:val="24"/>
        </w:rPr>
        <w:t>须知前附表</w:t>
      </w:r>
    </w:p>
    <w:p w14:paraId="5D6CCA96">
      <w:pPr>
        <w:spacing w:line="360" w:lineRule="auto"/>
        <w:ind w:firstLine="480" w:firstLineChars="200"/>
        <w:rPr>
          <w:rFonts w:ascii="宋体" w:hAnsi="宋体" w:cs="仿宋"/>
          <w:sz w:val="24"/>
        </w:rPr>
      </w:pPr>
      <w:r>
        <w:rPr>
          <w:rFonts w:hint="eastAsia" w:ascii="宋体" w:hAnsi="宋体" w:cs="仿宋"/>
          <w:sz w:val="24"/>
        </w:rPr>
        <w:t>1.3.4质保期：详见</w:t>
      </w:r>
      <w:r>
        <w:rPr>
          <w:rFonts w:hint="eastAsia" w:cs="仿宋"/>
          <w:sz w:val="24"/>
          <w:lang w:val="en-US" w:eastAsia="zh-CN"/>
        </w:rPr>
        <w:t>谈判</w:t>
      </w:r>
      <w:r>
        <w:rPr>
          <w:rFonts w:hint="eastAsia" w:ascii="宋体" w:hAnsi="宋体" w:cs="仿宋"/>
          <w:sz w:val="24"/>
        </w:rPr>
        <w:t>须知前附表</w:t>
      </w:r>
    </w:p>
    <w:p w14:paraId="3C76AB15">
      <w:pPr>
        <w:pStyle w:val="22"/>
      </w:pPr>
      <w:bookmarkStart w:id="20" w:name="_Toc507936017"/>
      <w:bookmarkStart w:id="21" w:name="_Toc506105822"/>
      <w:r>
        <w:rPr>
          <w:rFonts w:hint="eastAsia"/>
        </w:rPr>
        <w:t xml:space="preserve">1.4 </w:t>
      </w:r>
      <w:r>
        <w:rPr>
          <w:rFonts w:hint="eastAsia"/>
          <w:lang w:eastAsia="zh-CN"/>
        </w:rPr>
        <w:t>供应商</w:t>
      </w:r>
      <w:r>
        <w:rPr>
          <w:rFonts w:hint="eastAsia"/>
        </w:rPr>
        <w:t>资格要求</w:t>
      </w:r>
      <w:bookmarkEnd w:id="20"/>
      <w:bookmarkEnd w:id="21"/>
    </w:p>
    <w:p w14:paraId="3CC31111">
      <w:pPr>
        <w:ind w:firstLine="480" w:firstLineChars="200"/>
        <w:rPr>
          <w:rFonts w:ascii="宋体" w:hAnsi="宋体" w:cs="仿宋"/>
          <w:sz w:val="24"/>
        </w:rPr>
      </w:pPr>
      <w:r>
        <w:rPr>
          <w:rFonts w:hint="eastAsia" w:ascii="宋体" w:hAnsi="宋体" w:cs="仿宋"/>
          <w:sz w:val="24"/>
        </w:rPr>
        <w:t xml:space="preserve">1.4.1 </w:t>
      </w:r>
      <w:r>
        <w:rPr>
          <w:rFonts w:hint="eastAsia" w:cs="宋体"/>
          <w:sz w:val="24"/>
          <w:lang w:val="en-US" w:eastAsia="zh-CN"/>
        </w:rPr>
        <w:t>供应商</w:t>
      </w:r>
      <w:r>
        <w:rPr>
          <w:rFonts w:hint="eastAsia" w:ascii="宋体" w:hAnsi="宋体" w:cs="仿宋"/>
          <w:sz w:val="24"/>
        </w:rPr>
        <w:t>资格要求：详见</w:t>
      </w:r>
      <w:r>
        <w:rPr>
          <w:rFonts w:hint="eastAsia" w:cs="仿宋"/>
          <w:sz w:val="24"/>
          <w:lang w:val="en-US" w:eastAsia="zh-CN"/>
        </w:rPr>
        <w:t>谈判</w:t>
      </w:r>
      <w:r>
        <w:rPr>
          <w:rFonts w:hint="eastAsia" w:ascii="宋体" w:hAnsi="宋体" w:cs="仿宋"/>
          <w:sz w:val="24"/>
        </w:rPr>
        <w:t>须知前附表</w:t>
      </w:r>
    </w:p>
    <w:p w14:paraId="7DC6C969">
      <w:pPr>
        <w:spacing w:line="360" w:lineRule="auto"/>
        <w:ind w:firstLine="480" w:firstLineChars="200"/>
        <w:rPr>
          <w:rFonts w:hint="eastAsia" w:ascii="宋体" w:hAnsi="宋体" w:cs="仿宋"/>
          <w:sz w:val="24"/>
        </w:rPr>
      </w:pPr>
      <w:r>
        <w:rPr>
          <w:rFonts w:hint="eastAsia" w:ascii="宋体" w:hAnsi="宋体" w:cs="仿宋"/>
          <w:sz w:val="24"/>
        </w:rPr>
        <w:t>1.4.2 本</w:t>
      </w:r>
      <w:r>
        <w:rPr>
          <w:rFonts w:hint="eastAsia" w:cs="仿宋"/>
          <w:sz w:val="24"/>
          <w:lang w:val="en-US" w:eastAsia="zh-CN"/>
        </w:rPr>
        <w:t>次采购</w:t>
      </w:r>
      <w:r>
        <w:rPr>
          <w:rFonts w:hint="eastAsia" w:ascii="宋体" w:hAnsi="宋体" w:cs="仿宋"/>
          <w:sz w:val="24"/>
        </w:rPr>
        <w:t>不接受联合体。</w:t>
      </w:r>
    </w:p>
    <w:p w14:paraId="1039FF03">
      <w:pPr>
        <w:spacing w:line="360" w:lineRule="auto"/>
        <w:ind w:firstLine="480" w:firstLineChars="200"/>
        <w:rPr>
          <w:rFonts w:hint="eastAsia" w:ascii="宋体" w:hAnsi="宋体" w:eastAsia="宋体" w:cs="宋体"/>
          <w:sz w:val="24"/>
        </w:rPr>
      </w:pPr>
      <w:bookmarkStart w:id="22" w:name="_Toc506105823"/>
      <w:bookmarkStart w:id="23" w:name="_Toc507936018"/>
      <w:r>
        <w:rPr>
          <w:rFonts w:hint="eastAsia" w:ascii="宋体" w:hAnsi="宋体" w:eastAsia="宋体" w:cs="宋体"/>
          <w:sz w:val="24"/>
        </w:rPr>
        <w:t>1.4.3供应商不得存在下列情形之一：</w:t>
      </w:r>
    </w:p>
    <w:p w14:paraId="29BB1317">
      <w:pPr>
        <w:spacing w:line="360" w:lineRule="auto"/>
        <w:ind w:firstLine="480" w:firstLineChars="200"/>
        <w:rPr>
          <w:rFonts w:hint="eastAsia" w:ascii="宋体" w:hAnsi="宋体" w:eastAsia="宋体" w:cs="宋体"/>
          <w:sz w:val="24"/>
        </w:rPr>
      </w:pPr>
      <w:r>
        <w:rPr>
          <w:rFonts w:hint="eastAsia" w:ascii="宋体" w:hAnsi="宋体" w:eastAsia="宋体" w:cs="宋体"/>
          <w:sz w:val="24"/>
        </w:rPr>
        <w:t>（1）与</w:t>
      </w:r>
      <w:r>
        <w:rPr>
          <w:rFonts w:hint="eastAsia" w:ascii="宋体" w:hAnsi="宋体" w:eastAsia="宋体" w:cs="宋体"/>
          <w:sz w:val="24"/>
          <w:lang w:val="en-US" w:eastAsia="zh-CN"/>
        </w:rPr>
        <w:t>采购</w:t>
      </w:r>
      <w:r>
        <w:rPr>
          <w:rFonts w:hint="eastAsia" w:ascii="宋体" w:hAnsi="宋体" w:eastAsia="宋体" w:cs="宋体"/>
          <w:sz w:val="24"/>
        </w:rPr>
        <w:t>人存在利害关系且可能影响</w:t>
      </w:r>
      <w:r>
        <w:rPr>
          <w:rFonts w:hint="eastAsia" w:ascii="宋体" w:hAnsi="宋体" w:eastAsia="宋体" w:cs="宋体"/>
          <w:sz w:val="24"/>
          <w:lang w:val="en-US" w:eastAsia="zh-CN"/>
        </w:rPr>
        <w:t>采购</w:t>
      </w:r>
      <w:r>
        <w:rPr>
          <w:rFonts w:hint="eastAsia" w:ascii="宋体" w:hAnsi="宋体" w:eastAsia="宋体" w:cs="宋体"/>
          <w:sz w:val="24"/>
        </w:rPr>
        <w:t>公正性；</w:t>
      </w:r>
    </w:p>
    <w:p w14:paraId="39436B75">
      <w:pPr>
        <w:spacing w:line="360" w:lineRule="auto"/>
        <w:ind w:firstLine="480" w:firstLineChars="200"/>
        <w:rPr>
          <w:rFonts w:hint="eastAsia" w:ascii="宋体" w:hAnsi="宋体" w:eastAsia="宋体" w:cs="宋体"/>
          <w:sz w:val="24"/>
        </w:rPr>
      </w:pPr>
      <w:r>
        <w:rPr>
          <w:rFonts w:hint="eastAsia" w:ascii="宋体" w:hAnsi="宋体" w:eastAsia="宋体" w:cs="宋体"/>
          <w:sz w:val="24"/>
        </w:rPr>
        <w:t>（2）与本采购项目的其他供应商为同一个单位负责人；</w:t>
      </w:r>
    </w:p>
    <w:p w14:paraId="371D9E1D">
      <w:pPr>
        <w:spacing w:line="360" w:lineRule="auto"/>
        <w:ind w:firstLine="480" w:firstLineChars="200"/>
        <w:rPr>
          <w:rFonts w:hint="eastAsia" w:ascii="宋体" w:hAnsi="宋体" w:eastAsia="宋体" w:cs="宋体"/>
          <w:sz w:val="24"/>
        </w:rPr>
      </w:pPr>
      <w:r>
        <w:rPr>
          <w:rFonts w:hint="eastAsia" w:ascii="宋体" w:hAnsi="宋体" w:eastAsia="宋体" w:cs="宋体"/>
          <w:sz w:val="24"/>
        </w:rPr>
        <w:t>（3）与本采购项目的其他供应商存在控股、管理关系；</w:t>
      </w:r>
    </w:p>
    <w:p w14:paraId="28586D6B">
      <w:pPr>
        <w:spacing w:line="360" w:lineRule="auto"/>
        <w:ind w:firstLine="480" w:firstLineChars="200"/>
        <w:rPr>
          <w:rFonts w:hint="eastAsia" w:ascii="宋体" w:hAnsi="宋体" w:eastAsia="宋体" w:cs="宋体"/>
          <w:sz w:val="24"/>
        </w:rPr>
      </w:pPr>
      <w:r>
        <w:rPr>
          <w:rFonts w:hint="eastAsia" w:ascii="宋体" w:hAnsi="宋体" w:eastAsia="宋体" w:cs="宋体"/>
          <w:sz w:val="24"/>
        </w:rPr>
        <w:t>（4）与本采购项目其他供应商代理同一个制造商同一品牌同一型号的设备；</w:t>
      </w:r>
    </w:p>
    <w:p w14:paraId="16E8D313">
      <w:pPr>
        <w:spacing w:line="360" w:lineRule="auto"/>
        <w:ind w:firstLine="480" w:firstLineChars="200"/>
        <w:rPr>
          <w:rFonts w:hint="eastAsia" w:ascii="宋体" w:hAnsi="宋体" w:eastAsia="宋体" w:cs="宋体"/>
          <w:sz w:val="24"/>
        </w:rPr>
      </w:pPr>
      <w:r>
        <w:rPr>
          <w:rFonts w:hint="eastAsia" w:ascii="宋体" w:hAnsi="宋体" w:eastAsia="宋体" w:cs="宋体"/>
          <w:sz w:val="24"/>
        </w:rPr>
        <w:t>（5）被依法暂停或者取消</w:t>
      </w:r>
      <w:r>
        <w:rPr>
          <w:rFonts w:hint="eastAsia" w:ascii="宋体" w:hAnsi="宋体" w:eastAsia="宋体" w:cs="宋体"/>
          <w:sz w:val="24"/>
          <w:lang w:val="en-US" w:eastAsia="zh-CN"/>
        </w:rPr>
        <w:t>其</w:t>
      </w:r>
      <w:r>
        <w:rPr>
          <w:rFonts w:hint="eastAsia" w:ascii="宋体" w:hAnsi="宋体" w:eastAsia="宋体" w:cs="宋体"/>
          <w:sz w:val="24"/>
        </w:rPr>
        <w:t>资格；</w:t>
      </w:r>
    </w:p>
    <w:p w14:paraId="3BAA740B">
      <w:pPr>
        <w:spacing w:line="360" w:lineRule="auto"/>
        <w:ind w:firstLine="480" w:firstLineChars="200"/>
        <w:rPr>
          <w:rFonts w:hint="eastAsia" w:ascii="宋体" w:hAnsi="宋体" w:eastAsia="宋体" w:cs="宋体"/>
          <w:sz w:val="24"/>
        </w:rPr>
      </w:pPr>
      <w:r>
        <w:rPr>
          <w:rFonts w:hint="eastAsia" w:ascii="宋体" w:hAnsi="宋体" w:eastAsia="宋体" w:cs="宋体"/>
          <w:sz w:val="24"/>
        </w:rPr>
        <w:t>（6）被责令停产停业、暂扣或者吊销许可证、暂扣或者吊销执照；</w:t>
      </w:r>
    </w:p>
    <w:p w14:paraId="442B3317">
      <w:pPr>
        <w:spacing w:line="360" w:lineRule="auto"/>
        <w:ind w:firstLine="480" w:firstLineChars="200"/>
        <w:rPr>
          <w:rFonts w:hint="eastAsia" w:ascii="宋体" w:hAnsi="宋体" w:eastAsia="宋体" w:cs="宋体"/>
          <w:sz w:val="24"/>
        </w:rPr>
      </w:pPr>
      <w:r>
        <w:rPr>
          <w:rFonts w:hint="eastAsia" w:ascii="宋体" w:hAnsi="宋体" w:eastAsia="宋体" w:cs="宋体"/>
          <w:sz w:val="24"/>
        </w:rPr>
        <w:t>（7）进入清算程序，或被宣告破产，或其他丧失履约能力的情形；</w:t>
      </w:r>
    </w:p>
    <w:p w14:paraId="558C584F">
      <w:pPr>
        <w:spacing w:line="360" w:lineRule="auto"/>
        <w:ind w:firstLine="480" w:firstLineChars="200"/>
        <w:rPr>
          <w:rFonts w:hint="eastAsia" w:ascii="宋体" w:hAnsi="宋体" w:eastAsia="宋体" w:cs="宋体"/>
          <w:sz w:val="24"/>
        </w:rPr>
      </w:pPr>
      <w:r>
        <w:rPr>
          <w:rFonts w:hint="eastAsia" w:ascii="宋体" w:hAnsi="宋体" w:eastAsia="宋体" w:cs="宋体"/>
          <w:sz w:val="24"/>
        </w:rPr>
        <w:t>（8）在最近三年内发生重大产品质量问题（以相关行业主管部门的行政处罚决定或司法 机关出具的有关法律文书为准）；</w:t>
      </w:r>
    </w:p>
    <w:p w14:paraId="5BE01FC7">
      <w:pPr>
        <w:spacing w:line="360" w:lineRule="auto"/>
        <w:ind w:firstLine="480" w:firstLineChars="200"/>
        <w:rPr>
          <w:rFonts w:hint="eastAsia" w:ascii="宋体" w:hAnsi="宋体" w:eastAsia="宋体" w:cs="宋体"/>
          <w:sz w:val="24"/>
        </w:rPr>
      </w:pPr>
      <w:r>
        <w:rPr>
          <w:rFonts w:hint="eastAsia" w:ascii="宋体" w:hAnsi="宋体" w:eastAsia="宋体" w:cs="宋体"/>
          <w:sz w:val="24"/>
        </w:rPr>
        <w:t>（9）被工商行政管理机关在全国企业信用信息公示系统中列入严重违法失信企业名单；</w:t>
      </w:r>
    </w:p>
    <w:p w14:paraId="05DF2D1F">
      <w:pPr>
        <w:spacing w:line="360" w:lineRule="auto"/>
        <w:ind w:firstLine="480" w:firstLineChars="200"/>
        <w:rPr>
          <w:rFonts w:hint="eastAsia" w:ascii="宋体" w:hAnsi="宋体" w:eastAsia="宋体" w:cs="宋体"/>
          <w:sz w:val="24"/>
        </w:rPr>
      </w:pPr>
      <w:r>
        <w:rPr>
          <w:rFonts w:hint="eastAsia" w:ascii="宋体" w:hAnsi="宋体" w:eastAsia="宋体" w:cs="宋体"/>
          <w:sz w:val="24"/>
        </w:rPr>
        <w:t>（10）被最高人民法院在“信用中国”网站（www.creditchina.gov.cn)或各级信用信息共享平台中列入失信被执行人名单；</w:t>
      </w:r>
    </w:p>
    <w:p w14:paraId="06538B4B">
      <w:pPr>
        <w:spacing w:line="360" w:lineRule="auto"/>
        <w:ind w:firstLine="480" w:firstLineChars="200"/>
        <w:rPr>
          <w:rFonts w:hint="eastAsia" w:ascii="宋体" w:hAnsi="宋体" w:eastAsia="宋体" w:cs="宋体"/>
          <w:sz w:val="24"/>
        </w:rPr>
      </w:pPr>
      <w:r>
        <w:rPr>
          <w:rFonts w:hint="eastAsia" w:ascii="宋体" w:hAnsi="宋体" w:eastAsia="宋体" w:cs="宋体"/>
          <w:sz w:val="24"/>
        </w:rPr>
        <w:t>（11）在近三年内供应商或其法定代表人有行贿犯罪行为的（以检察机关职务犯罪预防部门出具的查询结果为准）；</w:t>
      </w:r>
    </w:p>
    <w:p w14:paraId="54739767">
      <w:pPr>
        <w:spacing w:line="360" w:lineRule="auto"/>
        <w:ind w:firstLine="480" w:firstLineChars="200"/>
        <w:rPr>
          <w:rFonts w:hint="eastAsia" w:ascii="宋体" w:hAnsi="宋体" w:eastAsia="宋体" w:cs="宋体"/>
          <w:sz w:val="24"/>
        </w:rPr>
      </w:pPr>
      <w:r>
        <w:rPr>
          <w:rFonts w:hint="eastAsia" w:ascii="宋体" w:hAnsi="宋体" w:eastAsia="宋体" w:cs="宋体"/>
          <w:sz w:val="24"/>
        </w:rPr>
        <w:t>（12）法律法规或供应商须知前附表规定的其他情形。</w:t>
      </w:r>
    </w:p>
    <w:p w14:paraId="4A41F18F">
      <w:pPr>
        <w:pStyle w:val="22"/>
      </w:pPr>
      <w:r>
        <w:rPr>
          <w:rFonts w:hint="eastAsia"/>
        </w:rPr>
        <w:t>1.5 费用承担</w:t>
      </w:r>
      <w:bookmarkEnd w:id="22"/>
      <w:bookmarkEnd w:id="23"/>
    </w:p>
    <w:p w14:paraId="7D17307E">
      <w:pPr>
        <w:ind w:firstLine="480" w:firstLineChars="200"/>
        <w:rPr>
          <w:rFonts w:ascii="宋体" w:hAnsi="宋体" w:cs="仿宋"/>
          <w:sz w:val="24"/>
        </w:rPr>
      </w:pPr>
      <w:r>
        <w:rPr>
          <w:rFonts w:hint="eastAsia" w:cs="宋体"/>
          <w:sz w:val="24"/>
          <w:lang w:val="en-US" w:eastAsia="zh-CN"/>
        </w:rPr>
        <w:t>供应商</w:t>
      </w:r>
      <w:r>
        <w:rPr>
          <w:rFonts w:hint="eastAsia" w:ascii="宋体" w:hAnsi="宋体" w:cs="仿宋"/>
          <w:sz w:val="24"/>
        </w:rPr>
        <w:t>准备和参加</w:t>
      </w:r>
      <w:r>
        <w:rPr>
          <w:rFonts w:hint="eastAsia" w:cs="仿宋"/>
          <w:sz w:val="24"/>
          <w:lang w:val="en-US" w:eastAsia="zh-CN"/>
        </w:rPr>
        <w:t>谈判</w:t>
      </w:r>
      <w:r>
        <w:rPr>
          <w:rFonts w:hint="eastAsia" w:ascii="宋体" w:hAnsi="宋体" w:cs="仿宋"/>
          <w:sz w:val="24"/>
        </w:rPr>
        <w:t>活动发生的费用自理。</w:t>
      </w:r>
    </w:p>
    <w:p w14:paraId="4CE29F68">
      <w:pPr>
        <w:pStyle w:val="22"/>
      </w:pPr>
      <w:bookmarkStart w:id="24" w:name="_Toc506105824"/>
      <w:bookmarkStart w:id="25" w:name="_Toc507936019"/>
      <w:r>
        <w:rPr>
          <w:rFonts w:hint="eastAsia"/>
        </w:rPr>
        <w:t>1.6 保密</w:t>
      </w:r>
      <w:bookmarkEnd w:id="24"/>
      <w:bookmarkEnd w:id="25"/>
    </w:p>
    <w:p w14:paraId="1D4DFB97">
      <w:pPr>
        <w:spacing w:line="360" w:lineRule="auto"/>
        <w:ind w:firstLine="480" w:firstLineChars="200"/>
        <w:rPr>
          <w:rFonts w:ascii="宋体" w:hAnsi="宋体" w:cs="仿宋"/>
          <w:sz w:val="24"/>
        </w:rPr>
      </w:pPr>
      <w:r>
        <w:rPr>
          <w:rFonts w:hint="eastAsia" w:ascii="宋体" w:hAnsi="宋体" w:cs="仿宋"/>
          <w:sz w:val="24"/>
        </w:rPr>
        <w:t>参与</w:t>
      </w:r>
      <w:r>
        <w:rPr>
          <w:rFonts w:hint="eastAsia" w:cs="仿宋"/>
          <w:sz w:val="24"/>
          <w:lang w:val="en-US" w:eastAsia="zh-CN"/>
        </w:rPr>
        <w:t>谈判</w:t>
      </w:r>
      <w:r>
        <w:rPr>
          <w:rFonts w:hint="eastAsia" w:ascii="宋体" w:hAnsi="宋体" w:cs="仿宋"/>
          <w:sz w:val="24"/>
        </w:rPr>
        <w:t>活动的各方应对</w:t>
      </w:r>
      <w:r>
        <w:rPr>
          <w:rFonts w:hint="eastAsia" w:cs="仿宋"/>
          <w:sz w:val="24"/>
          <w:lang w:val="en-US" w:eastAsia="zh-CN"/>
        </w:rPr>
        <w:t>谈判</w:t>
      </w:r>
      <w:r>
        <w:rPr>
          <w:rFonts w:hint="eastAsia" w:ascii="宋体" w:hAnsi="宋体" w:cs="仿宋"/>
          <w:sz w:val="24"/>
        </w:rPr>
        <w:t>文件和</w:t>
      </w:r>
      <w:r>
        <w:rPr>
          <w:rFonts w:hint="eastAsia" w:cs="仿宋"/>
          <w:sz w:val="24"/>
          <w:lang w:val="en-US" w:eastAsia="zh-CN"/>
        </w:rPr>
        <w:t>响应</w:t>
      </w:r>
      <w:r>
        <w:rPr>
          <w:rFonts w:hint="eastAsia" w:ascii="宋体" w:hAnsi="宋体" w:cs="仿宋"/>
          <w:sz w:val="24"/>
        </w:rPr>
        <w:t>文件中的商业和技术等秘密保密，违者应对由此造成的后果承担法律责任。</w:t>
      </w:r>
    </w:p>
    <w:p w14:paraId="6E75EDBE">
      <w:pPr>
        <w:pStyle w:val="22"/>
      </w:pPr>
      <w:bookmarkStart w:id="26" w:name="_Toc506105825"/>
      <w:bookmarkStart w:id="27" w:name="_Toc507936020"/>
      <w:r>
        <w:rPr>
          <w:rFonts w:hint="eastAsia"/>
        </w:rPr>
        <w:t>1.7 语言文字</w:t>
      </w:r>
      <w:bookmarkEnd w:id="26"/>
      <w:bookmarkEnd w:id="27"/>
    </w:p>
    <w:p w14:paraId="414BB8DB">
      <w:pPr>
        <w:spacing w:line="360" w:lineRule="auto"/>
        <w:ind w:firstLine="480" w:firstLineChars="200"/>
        <w:rPr>
          <w:rFonts w:ascii="宋体" w:hAnsi="宋体" w:cs="仿宋"/>
          <w:sz w:val="24"/>
        </w:rPr>
      </w:pPr>
      <w:r>
        <w:rPr>
          <w:rFonts w:hint="eastAsia" w:ascii="宋体" w:hAnsi="宋体" w:cs="仿宋"/>
          <w:sz w:val="24"/>
        </w:rPr>
        <w:t>除专用术语外，与</w:t>
      </w:r>
      <w:r>
        <w:rPr>
          <w:rFonts w:hint="eastAsia" w:cs="仿宋"/>
          <w:sz w:val="24"/>
          <w:lang w:val="en-US" w:eastAsia="zh-CN"/>
        </w:rPr>
        <w:t>谈判</w:t>
      </w:r>
      <w:r>
        <w:rPr>
          <w:rFonts w:hint="eastAsia" w:ascii="宋体" w:hAnsi="宋体" w:cs="仿宋"/>
          <w:sz w:val="24"/>
        </w:rPr>
        <w:t>有关的语言均使用中文</w:t>
      </w:r>
      <w:r>
        <w:rPr>
          <w:rFonts w:hint="eastAsia" w:cs="仿宋"/>
          <w:sz w:val="24"/>
          <w:lang w:eastAsia="zh-CN"/>
        </w:rPr>
        <w:t>，</w:t>
      </w:r>
      <w:r>
        <w:rPr>
          <w:rFonts w:hint="eastAsia" w:ascii="宋体" w:hAnsi="宋体" w:cs="仿宋"/>
          <w:sz w:val="24"/>
        </w:rPr>
        <w:t>必要时专用术语应附有中文注释。</w:t>
      </w:r>
    </w:p>
    <w:p w14:paraId="3F32B529">
      <w:pPr>
        <w:pStyle w:val="22"/>
      </w:pPr>
      <w:bookmarkStart w:id="28" w:name="_Toc507936021"/>
      <w:bookmarkStart w:id="29" w:name="_Toc506105826"/>
      <w:r>
        <w:rPr>
          <w:rFonts w:hint="eastAsia"/>
        </w:rPr>
        <w:t>1.8 计量单位</w:t>
      </w:r>
      <w:bookmarkEnd w:id="28"/>
      <w:bookmarkEnd w:id="29"/>
    </w:p>
    <w:p w14:paraId="1C158951">
      <w:pPr>
        <w:spacing w:line="360" w:lineRule="auto"/>
        <w:ind w:firstLine="480" w:firstLineChars="200"/>
        <w:rPr>
          <w:rFonts w:ascii="宋体" w:hAnsi="宋体" w:cs="仿宋"/>
          <w:sz w:val="24"/>
        </w:rPr>
      </w:pPr>
      <w:r>
        <w:rPr>
          <w:rFonts w:hint="eastAsia" w:ascii="宋体" w:hAnsi="宋体" w:cs="仿宋"/>
          <w:sz w:val="24"/>
        </w:rPr>
        <w:t>所有计量均采用中华人民共和国法定计量单位。</w:t>
      </w:r>
    </w:p>
    <w:p w14:paraId="2DFADE01">
      <w:pPr>
        <w:pStyle w:val="22"/>
      </w:pPr>
      <w:bookmarkStart w:id="30" w:name="_Toc506105827"/>
      <w:bookmarkStart w:id="31" w:name="_Toc507936022"/>
      <w:r>
        <w:rPr>
          <w:rFonts w:hint="eastAsia"/>
        </w:rPr>
        <w:t>1.9 踏勘现场</w:t>
      </w:r>
      <w:bookmarkEnd w:id="30"/>
      <w:bookmarkEnd w:id="31"/>
    </w:p>
    <w:p w14:paraId="1744AE9A">
      <w:pPr>
        <w:spacing w:line="360" w:lineRule="auto"/>
        <w:ind w:firstLine="480" w:firstLineChars="200"/>
        <w:rPr>
          <w:rStyle w:val="21"/>
        </w:rPr>
      </w:pPr>
      <w:r>
        <w:rPr>
          <w:rFonts w:hint="eastAsia" w:ascii="宋体" w:hAnsi="宋体" w:cs="仿宋"/>
          <w:sz w:val="24"/>
        </w:rPr>
        <w:t>1.9.1详见</w:t>
      </w:r>
      <w:r>
        <w:rPr>
          <w:rFonts w:hint="eastAsia" w:cs="仿宋"/>
          <w:sz w:val="24"/>
          <w:lang w:val="en-US" w:eastAsia="zh-CN"/>
        </w:rPr>
        <w:t>谈判</w:t>
      </w:r>
      <w:r>
        <w:rPr>
          <w:rFonts w:hint="eastAsia" w:ascii="宋体" w:hAnsi="宋体" w:cs="仿宋"/>
          <w:sz w:val="24"/>
        </w:rPr>
        <w:t>须知前附表</w:t>
      </w:r>
    </w:p>
    <w:p w14:paraId="3EDE23DC">
      <w:pPr>
        <w:pStyle w:val="22"/>
      </w:pPr>
      <w:bookmarkStart w:id="32" w:name="_Toc506105828"/>
      <w:bookmarkStart w:id="33" w:name="_Toc507936023"/>
      <w:r>
        <w:rPr>
          <w:rFonts w:hint="eastAsia"/>
        </w:rPr>
        <w:t xml:space="preserve">1.10 </w:t>
      </w:r>
      <w:r>
        <w:rPr>
          <w:rFonts w:hint="eastAsia"/>
          <w:lang w:val="en-US" w:eastAsia="zh-CN"/>
        </w:rPr>
        <w:t>谈判</w:t>
      </w:r>
      <w:r>
        <w:rPr>
          <w:rFonts w:hint="eastAsia"/>
        </w:rPr>
        <w:t>预备会</w:t>
      </w:r>
      <w:bookmarkEnd w:id="32"/>
      <w:bookmarkEnd w:id="33"/>
    </w:p>
    <w:p w14:paraId="43BF13B0">
      <w:pPr>
        <w:spacing w:line="360" w:lineRule="auto"/>
        <w:ind w:firstLine="480" w:firstLineChars="200"/>
        <w:rPr>
          <w:rFonts w:hint="eastAsia" w:ascii="宋体" w:hAnsi="宋体" w:cs="仿宋"/>
          <w:sz w:val="24"/>
        </w:rPr>
      </w:pPr>
      <w:r>
        <w:rPr>
          <w:rFonts w:hint="eastAsia" w:ascii="宋体" w:hAnsi="宋体" w:cs="仿宋"/>
          <w:sz w:val="24"/>
        </w:rPr>
        <w:t>1.10.1</w:t>
      </w:r>
      <w:r>
        <w:rPr>
          <w:rFonts w:hint="eastAsia" w:cs="仿宋"/>
          <w:sz w:val="24"/>
          <w:lang w:val="en-US" w:eastAsia="zh-CN"/>
        </w:rPr>
        <w:t>采购</w:t>
      </w:r>
      <w:r>
        <w:rPr>
          <w:rFonts w:hint="eastAsia" w:ascii="宋体" w:hAnsi="宋体" w:cs="仿宋"/>
          <w:sz w:val="24"/>
        </w:rPr>
        <w:t>人不召开</w:t>
      </w:r>
      <w:r>
        <w:rPr>
          <w:rFonts w:hint="eastAsia" w:cs="仿宋"/>
          <w:sz w:val="24"/>
          <w:lang w:val="en-US" w:eastAsia="zh-CN"/>
        </w:rPr>
        <w:t>谈判</w:t>
      </w:r>
      <w:r>
        <w:rPr>
          <w:rFonts w:hint="eastAsia" w:ascii="宋体" w:hAnsi="宋体" w:cs="仿宋"/>
          <w:sz w:val="24"/>
        </w:rPr>
        <w:t>预备会。</w:t>
      </w:r>
    </w:p>
    <w:p w14:paraId="477D4E66">
      <w:pPr>
        <w:pStyle w:val="15"/>
        <w:rPr>
          <w:rStyle w:val="21"/>
          <w:b/>
          <w:bCs/>
        </w:rPr>
      </w:pPr>
      <w:bookmarkStart w:id="34" w:name="_Toc507936024"/>
      <w:r>
        <w:rPr>
          <w:rStyle w:val="21"/>
          <w:rFonts w:hint="eastAsia"/>
          <w:b/>
          <w:bCs/>
        </w:rPr>
        <w:t>2.</w:t>
      </w:r>
      <w:r>
        <w:rPr>
          <w:rStyle w:val="21"/>
          <w:rFonts w:hint="eastAsia" w:eastAsia="宋体"/>
          <w:b/>
          <w:bCs/>
          <w:lang w:val="en-US" w:eastAsia="zh-CN"/>
        </w:rPr>
        <w:t>谈判</w:t>
      </w:r>
      <w:r>
        <w:rPr>
          <w:rStyle w:val="21"/>
          <w:rFonts w:hint="eastAsia"/>
          <w:b/>
          <w:bCs/>
        </w:rPr>
        <w:t>文件</w:t>
      </w:r>
      <w:bookmarkEnd w:id="34"/>
    </w:p>
    <w:p w14:paraId="35AA8E50">
      <w:pPr>
        <w:pStyle w:val="22"/>
        <w:rPr>
          <w:rFonts w:hint="default" w:eastAsia="宋体"/>
          <w:lang w:val="en-US" w:eastAsia="zh-CN"/>
        </w:rPr>
      </w:pPr>
      <w:bookmarkStart w:id="35" w:name="_Toc506105830"/>
      <w:bookmarkStart w:id="36" w:name="_Toc507936025"/>
      <w:r>
        <w:rPr>
          <w:rFonts w:hint="eastAsia"/>
        </w:rPr>
        <w:t xml:space="preserve">2.1 </w:t>
      </w:r>
      <w:r>
        <w:rPr>
          <w:rFonts w:hint="eastAsia"/>
          <w:lang w:val="en-US" w:eastAsia="zh-CN"/>
        </w:rPr>
        <w:t>谈判</w:t>
      </w:r>
      <w:r>
        <w:rPr>
          <w:rFonts w:hint="eastAsia"/>
        </w:rPr>
        <w:t>文件的内容</w:t>
      </w:r>
      <w:bookmarkEnd w:id="35"/>
      <w:bookmarkEnd w:id="36"/>
      <w:r>
        <w:rPr>
          <w:rFonts w:hint="eastAsia"/>
          <w:lang w:val="en-US" w:eastAsia="zh-CN"/>
        </w:rPr>
        <w:t>和发布</w:t>
      </w:r>
    </w:p>
    <w:p w14:paraId="30EFC993">
      <w:pPr>
        <w:spacing w:line="360" w:lineRule="auto"/>
        <w:ind w:firstLine="480" w:firstLineChars="200"/>
        <w:rPr>
          <w:rFonts w:ascii="宋体" w:hAnsi="宋体" w:cs="仿宋"/>
          <w:sz w:val="24"/>
        </w:rPr>
      </w:pPr>
      <w:r>
        <w:rPr>
          <w:rFonts w:hint="eastAsia" w:ascii="宋体" w:hAnsi="宋体" w:cs="仿宋"/>
          <w:sz w:val="24"/>
        </w:rPr>
        <w:t>2.1.1</w:t>
      </w:r>
      <w:r>
        <w:rPr>
          <w:rFonts w:hint="eastAsia" w:cs="仿宋"/>
          <w:sz w:val="24"/>
          <w:lang w:val="en-US" w:eastAsia="zh-CN"/>
        </w:rPr>
        <w:t>谈判</w:t>
      </w:r>
      <w:r>
        <w:rPr>
          <w:rFonts w:hint="eastAsia" w:ascii="宋体" w:hAnsi="宋体" w:cs="仿宋"/>
          <w:sz w:val="24"/>
        </w:rPr>
        <w:t>文件包括：</w:t>
      </w:r>
    </w:p>
    <w:p w14:paraId="1D7F6ECD">
      <w:pPr>
        <w:spacing w:line="360" w:lineRule="auto"/>
        <w:ind w:firstLine="480" w:firstLineChars="200"/>
        <w:rPr>
          <w:rFonts w:ascii="宋体" w:hAnsi="宋体" w:cs="仿宋"/>
          <w:sz w:val="24"/>
        </w:rPr>
      </w:pPr>
      <w:r>
        <w:rPr>
          <w:rFonts w:hint="eastAsia" w:ascii="宋体" w:hAnsi="宋体" w:cs="仿宋"/>
          <w:sz w:val="24"/>
        </w:rPr>
        <w:t>（1）</w:t>
      </w:r>
      <w:r>
        <w:rPr>
          <w:rFonts w:hint="eastAsia" w:cs="仿宋"/>
          <w:sz w:val="24"/>
          <w:lang w:val="en-US" w:eastAsia="zh-CN"/>
        </w:rPr>
        <w:t>谈判公告</w:t>
      </w:r>
    </w:p>
    <w:p w14:paraId="536820FF">
      <w:pPr>
        <w:spacing w:line="360" w:lineRule="auto"/>
        <w:ind w:firstLine="480" w:firstLineChars="200"/>
        <w:rPr>
          <w:rFonts w:ascii="宋体" w:hAnsi="宋体" w:cs="仿宋"/>
          <w:sz w:val="24"/>
        </w:rPr>
      </w:pPr>
      <w:r>
        <w:rPr>
          <w:rFonts w:hint="eastAsia" w:ascii="宋体" w:hAnsi="宋体" w:cs="仿宋"/>
          <w:sz w:val="24"/>
        </w:rPr>
        <w:t>（2）</w:t>
      </w:r>
      <w:r>
        <w:rPr>
          <w:rFonts w:hint="eastAsia" w:cs="仿宋"/>
          <w:sz w:val="24"/>
          <w:lang w:val="en-US" w:eastAsia="zh-CN"/>
        </w:rPr>
        <w:t>谈判</w:t>
      </w:r>
      <w:r>
        <w:rPr>
          <w:rFonts w:hint="eastAsia" w:ascii="宋体" w:hAnsi="宋体" w:cs="仿宋"/>
          <w:sz w:val="24"/>
        </w:rPr>
        <w:t>须知</w:t>
      </w:r>
    </w:p>
    <w:p w14:paraId="3E002E0D">
      <w:pPr>
        <w:spacing w:line="360" w:lineRule="auto"/>
        <w:ind w:firstLine="480" w:firstLineChars="200"/>
        <w:rPr>
          <w:rFonts w:ascii="宋体" w:hAnsi="宋体" w:cs="仿宋"/>
          <w:sz w:val="24"/>
        </w:rPr>
      </w:pPr>
      <w:r>
        <w:rPr>
          <w:rFonts w:hint="eastAsia" w:ascii="宋体" w:hAnsi="宋体" w:cs="仿宋"/>
          <w:sz w:val="24"/>
        </w:rPr>
        <w:t>（3）评</w:t>
      </w:r>
      <w:r>
        <w:rPr>
          <w:rFonts w:hint="eastAsia" w:cs="仿宋"/>
          <w:sz w:val="24"/>
          <w:lang w:val="en-US" w:eastAsia="zh-CN"/>
        </w:rPr>
        <w:t>审</w:t>
      </w:r>
      <w:r>
        <w:rPr>
          <w:rFonts w:hint="eastAsia" w:ascii="宋体" w:hAnsi="宋体" w:cs="仿宋"/>
          <w:sz w:val="24"/>
        </w:rPr>
        <w:t>办法</w:t>
      </w:r>
    </w:p>
    <w:p w14:paraId="026913C2">
      <w:pPr>
        <w:spacing w:line="360" w:lineRule="auto"/>
        <w:ind w:firstLine="480" w:firstLineChars="200"/>
        <w:rPr>
          <w:rFonts w:ascii="宋体" w:hAnsi="宋体" w:cs="仿宋"/>
          <w:sz w:val="24"/>
        </w:rPr>
      </w:pPr>
      <w:r>
        <w:rPr>
          <w:rFonts w:hint="eastAsia" w:ascii="宋体" w:hAnsi="宋体" w:cs="仿宋"/>
          <w:sz w:val="24"/>
        </w:rPr>
        <w:t>（4）合同及附件</w:t>
      </w:r>
    </w:p>
    <w:p w14:paraId="45AFEF36">
      <w:pPr>
        <w:spacing w:line="360" w:lineRule="auto"/>
        <w:ind w:firstLine="480" w:firstLineChars="200"/>
        <w:rPr>
          <w:rFonts w:ascii="宋体" w:hAnsi="宋体" w:cs="仿宋"/>
          <w:sz w:val="24"/>
        </w:rPr>
      </w:pPr>
      <w:r>
        <w:rPr>
          <w:rFonts w:hint="eastAsia" w:ascii="宋体" w:hAnsi="宋体" w:cs="仿宋"/>
          <w:sz w:val="24"/>
        </w:rPr>
        <w:t>（5）</w:t>
      </w:r>
      <w:r>
        <w:rPr>
          <w:rFonts w:hint="eastAsia" w:cs="仿宋"/>
          <w:sz w:val="24"/>
          <w:lang w:val="en-US" w:eastAsia="zh-CN"/>
        </w:rPr>
        <w:t>响应</w:t>
      </w:r>
      <w:r>
        <w:rPr>
          <w:rFonts w:hint="eastAsia" w:ascii="宋体" w:hAnsi="宋体" w:cs="仿宋"/>
          <w:sz w:val="24"/>
        </w:rPr>
        <w:t>文件格式及内容</w:t>
      </w:r>
    </w:p>
    <w:p w14:paraId="00C1B178">
      <w:pPr>
        <w:spacing w:line="360" w:lineRule="auto"/>
        <w:ind w:firstLine="480" w:firstLineChars="200"/>
        <w:rPr>
          <w:rFonts w:ascii="宋体" w:hAnsi="宋体" w:cs="仿宋"/>
          <w:sz w:val="24"/>
        </w:rPr>
      </w:pPr>
      <w:r>
        <w:rPr>
          <w:rFonts w:hint="eastAsia" w:ascii="宋体" w:hAnsi="宋体" w:cs="仿宋"/>
          <w:sz w:val="24"/>
        </w:rPr>
        <w:t>根据本章第1.10款、第2.2款和第2.3款对</w:t>
      </w:r>
      <w:r>
        <w:rPr>
          <w:rFonts w:hint="eastAsia" w:cs="仿宋"/>
          <w:sz w:val="24"/>
          <w:lang w:val="en-US" w:eastAsia="zh-CN"/>
        </w:rPr>
        <w:t>谈判</w:t>
      </w:r>
      <w:r>
        <w:rPr>
          <w:rFonts w:hint="eastAsia" w:ascii="宋体" w:hAnsi="宋体" w:cs="仿宋"/>
          <w:sz w:val="24"/>
        </w:rPr>
        <w:t>文件所作的澄清、修改，构成</w:t>
      </w:r>
      <w:r>
        <w:rPr>
          <w:rFonts w:hint="eastAsia" w:cs="仿宋"/>
          <w:sz w:val="24"/>
          <w:lang w:val="en-US" w:eastAsia="zh-CN"/>
        </w:rPr>
        <w:t>谈判</w:t>
      </w:r>
      <w:r>
        <w:rPr>
          <w:rFonts w:hint="eastAsia" w:ascii="宋体" w:hAnsi="宋体" w:cs="仿宋"/>
          <w:sz w:val="24"/>
        </w:rPr>
        <w:t>文件的组成部分。</w:t>
      </w:r>
    </w:p>
    <w:p w14:paraId="2861DABB">
      <w:pPr>
        <w:spacing w:line="360" w:lineRule="auto"/>
        <w:ind w:firstLine="480" w:firstLineChars="200"/>
        <w:rPr>
          <w:rFonts w:hint="eastAsia" w:ascii="宋体" w:hAnsi="宋体" w:cs="仿宋"/>
          <w:sz w:val="24"/>
        </w:rPr>
      </w:pPr>
      <w:r>
        <w:rPr>
          <w:rFonts w:hint="eastAsia" w:ascii="宋体" w:hAnsi="宋体" w:cs="仿宋"/>
          <w:sz w:val="24"/>
        </w:rPr>
        <w:t>2.1.2若</w:t>
      </w:r>
      <w:r>
        <w:rPr>
          <w:rFonts w:hint="eastAsia" w:cs="仿宋"/>
          <w:sz w:val="24"/>
          <w:lang w:val="en-US" w:eastAsia="zh-CN"/>
        </w:rPr>
        <w:t>谈判</w:t>
      </w:r>
      <w:r>
        <w:rPr>
          <w:rFonts w:hint="eastAsia" w:ascii="宋体" w:hAnsi="宋体" w:cs="仿宋"/>
          <w:sz w:val="24"/>
        </w:rPr>
        <w:t>文件中不同章节对同一内容叙述有差异的，性能、参数以技术要求为准；</w:t>
      </w:r>
      <w:r>
        <w:rPr>
          <w:rFonts w:hint="eastAsia" w:cs="仿宋"/>
          <w:sz w:val="24"/>
          <w:lang w:val="en-US" w:eastAsia="zh-CN"/>
        </w:rPr>
        <w:t>供应商</w:t>
      </w:r>
      <w:r>
        <w:rPr>
          <w:rFonts w:hint="eastAsia" w:ascii="宋体" w:hAnsi="宋体" w:cs="仿宋"/>
          <w:sz w:val="24"/>
        </w:rPr>
        <w:t>资格要求、交货期、交货地点、</w:t>
      </w:r>
      <w:r>
        <w:rPr>
          <w:rFonts w:hint="eastAsia" w:cs="仿宋"/>
          <w:sz w:val="24"/>
          <w:lang w:val="en-US" w:eastAsia="zh-CN"/>
        </w:rPr>
        <w:t>质保期</w:t>
      </w:r>
      <w:r>
        <w:rPr>
          <w:rFonts w:hint="eastAsia" w:ascii="宋体" w:hAnsi="宋体" w:cs="仿宋"/>
          <w:sz w:val="24"/>
        </w:rPr>
        <w:t>以</w:t>
      </w:r>
      <w:r>
        <w:rPr>
          <w:rFonts w:hint="eastAsia" w:cs="宋体"/>
          <w:sz w:val="24"/>
          <w:lang w:val="en-US" w:eastAsia="zh-CN"/>
        </w:rPr>
        <w:t>谈判</w:t>
      </w:r>
      <w:r>
        <w:rPr>
          <w:rFonts w:hint="eastAsia" w:cs="宋体"/>
          <w:sz w:val="24"/>
        </w:rPr>
        <w:t>须知前附表</w:t>
      </w:r>
      <w:r>
        <w:rPr>
          <w:rFonts w:hint="eastAsia" w:ascii="宋体" w:hAnsi="宋体" w:cs="仿宋"/>
          <w:sz w:val="24"/>
        </w:rPr>
        <w:t>为准。</w:t>
      </w:r>
    </w:p>
    <w:p w14:paraId="7CF71B0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仿宋"/>
          <w:sz w:val="24"/>
          <w:szCs w:val="24"/>
          <w:lang w:val="en-US" w:eastAsia="zh-CN" w:bidi="ar-SA"/>
        </w:rPr>
      </w:pPr>
      <w:r>
        <w:rPr>
          <w:rFonts w:hint="eastAsia" w:ascii="宋体" w:hAnsi="宋体" w:eastAsia="宋体" w:cs="仿宋"/>
          <w:sz w:val="24"/>
          <w:szCs w:val="24"/>
          <w:lang w:val="en-US" w:eastAsia="zh-CN" w:bidi="ar-SA"/>
        </w:rPr>
        <w:t>2.1.3本谈判文件在济钢集团有限公司阳光购销平台（网址：</w:t>
      </w:r>
      <w:r>
        <w:rPr>
          <w:rFonts w:hint="eastAsia" w:ascii="宋体" w:hAnsi="宋体" w:eastAsia="宋体" w:cs="仿宋"/>
          <w:sz w:val="24"/>
          <w:szCs w:val="24"/>
          <w:lang w:val="en-US" w:eastAsia="zh-CN" w:bidi="ar-SA"/>
        </w:rPr>
        <w:fldChar w:fldCharType="begin"/>
      </w:r>
      <w:r>
        <w:rPr>
          <w:rFonts w:hint="eastAsia" w:ascii="宋体" w:hAnsi="宋体" w:eastAsia="宋体" w:cs="仿宋"/>
          <w:sz w:val="24"/>
          <w:szCs w:val="24"/>
          <w:lang w:val="en-US" w:eastAsia="zh-CN" w:bidi="ar-SA"/>
        </w:rPr>
        <w:instrText xml:space="preserve"> HYPERLINK "http://bidding.jigang.com.cn" </w:instrText>
      </w:r>
      <w:r>
        <w:rPr>
          <w:rFonts w:hint="eastAsia" w:ascii="宋体" w:hAnsi="宋体" w:eastAsia="宋体" w:cs="仿宋"/>
          <w:sz w:val="24"/>
          <w:szCs w:val="24"/>
          <w:lang w:val="en-US" w:eastAsia="zh-CN" w:bidi="ar-SA"/>
        </w:rPr>
        <w:fldChar w:fldCharType="separate"/>
      </w:r>
      <w:r>
        <w:rPr>
          <w:rFonts w:hint="eastAsia" w:ascii="宋体" w:hAnsi="宋体" w:eastAsia="宋体" w:cs="仿宋"/>
          <w:sz w:val="24"/>
          <w:szCs w:val="24"/>
          <w:lang w:val="en-US" w:eastAsia="zh-CN" w:bidi="ar-SA"/>
        </w:rPr>
        <w:t>http://bidding.jigang.com.cn</w:t>
      </w:r>
      <w:r>
        <w:rPr>
          <w:rFonts w:hint="eastAsia" w:ascii="宋体" w:hAnsi="宋体" w:eastAsia="宋体" w:cs="仿宋"/>
          <w:sz w:val="24"/>
          <w:szCs w:val="24"/>
          <w:lang w:val="en-US" w:eastAsia="zh-CN" w:bidi="ar-SA"/>
        </w:rPr>
        <w:fldChar w:fldCharType="end"/>
      </w:r>
      <w:r>
        <w:rPr>
          <w:rFonts w:hint="eastAsia" w:ascii="宋体" w:hAnsi="宋体" w:eastAsia="宋体" w:cs="仿宋"/>
          <w:sz w:val="24"/>
          <w:szCs w:val="24"/>
          <w:lang w:val="en-US" w:eastAsia="zh-CN" w:bidi="ar-SA"/>
        </w:rPr>
        <w:t>/） 上发布。除上述媒介以外的媒介转载或发布与本次谈判相关信息的，采购人不承担任何责任并保留追究相关方责任的权利。</w:t>
      </w:r>
    </w:p>
    <w:p w14:paraId="4C153639">
      <w:pPr>
        <w:pStyle w:val="22"/>
      </w:pPr>
      <w:bookmarkStart w:id="37" w:name="_Toc506105831"/>
      <w:bookmarkStart w:id="38" w:name="_Toc507936026"/>
      <w:r>
        <w:rPr>
          <w:rFonts w:hint="eastAsia"/>
        </w:rPr>
        <w:t xml:space="preserve">2.2 </w:t>
      </w:r>
      <w:r>
        <w:rPr>
          <w:rFonts w:hint="eastAsia"/>
          <w:lang w:val="en-US" w:eastAsia="zh-CN"/>
        </w:rPr>
        <w:t>谈判</w:t>
      </w:r>
      <w:r>
        <w:rPr>
          <w:rFonts w:hint="eastAsia"/>
        </w:rPr>
        <w:t>文件的澄清</w:t>
      </w:r>
      <w:bookmarkEnd w:id="37"/>
      <w:bookmarkEnd w:id="38"/>
    </w:p>
    <w:p w14:paraId="0598B018">
      <w:pPr>
        <w:spacing w:line="360" w:lineRule="auto"/>
        <w:ind w:firstLine="480" w:firstLineChars="200"/>
        <w:rPr>
          <w:rFonts w:hint="eastAsia" w:ascii="宋体" w:hAnsi="宋体"/>
          <w:sz w:val="24"/>
        </w:rPr>
      </w:pPr>
      <w:bookmarkStart w:id="39" w:name="_Toc507936027"/>
      <w:bookmarkStart w:id="40" w:name="_Toc506105832"/>
      <w:r>
        <w:rPr>
          <w:rFonts w:hint="eastAsia" w:ascii="宋体" w:hAnsi="宋体"/>
          <w:sz w:val="24"/>
        </w:rPr>
        <w:t>2.2.1 供应商应仔细阅读和检查竞争性谈判文件的全部内容。如发现缺页或附件不全，应及时向采购人或代理机构提出，以便补齐。如有疑问</w:t>
      </w:r>
      <w:r>
        <w:rPr>
          <w:rFonts w:hint="eastAsia"/>
          <w:sz w:val="24"/>
          <w:lang w:eastAsia="zh-CN"/>
        </w:rPr>
        <w:t>、</w:t>
      </w:r>
      <w:r>
        <w:rPr>
          <w:rFonts w:hint="eastAsia"/>
          <w:sz w:val="24"/>
          <w:lang w:val="en-US" w:eastAsia="zh-CN"/>
        </w:rPr>
        <w:t>异议</w:t>
      </w:r>
      <w:r>
        <w:rPr>
          <w:rFonts w:hint="eastAsia" w:ascii="宋体" w:hAnsi="宋体"/>
          <w:sz w:val="24"/>
        </w:rPr>
        <w:t>，应在</w:t>
      </w:r>
      <w:r>
        <w:rPr>
          <w:rFonts w:hint="eastAsia" w:cs="仿宋"/>
          <w:sz w:val="24"/>
          <w:lang w:val="en-US" w:eastAsia="zh-CN"/>
        </w:rPr>
        <w:t>谈判截止</w:t>
      </w:r>
      <w:r>
        <w:rPr>
          <w:rFonts w:hint="eastAsia" w:ascii="宋体" w:hAnsi="宋体" w:cs="仿宋"/>
          <w:sz w:val="24"/>
        </w:rPr>
        <w:t>时间</w:t>
      </w:r>
      <w:r>
        <w:rPr>
          <w:rFonts w:hint="eastAsia" w:cs="仿宋"/>
          <w:color w:val="auto"/>
          <w:sz w:val="24"/>
          <w:lang w:val="en-US" w:eastAsia="zh-CN"/>
        </w:rPr>
        <w:t>2</w:t>
      </w:r>
      <w:r>
        <w:rPr>
          <w:rFonts w:hint="eastAsia" w:ascii="宋体" w:hAnsi="宋体" w:cs="仿宋"/>
          <w:sz w:val="24"/>
        </w:rPr>
        <w:t>天前</w:t>
      </w:r>
      <w:r>
        <w:rPr>
          <w:rFonts w:hint="eastAsia" w:ascii="宋体" w:hAnsi="宋体"/>
          <w:sz w:val="24"/>
        </w:rPr>
        <w:t>以书面形式要求采购人对竞争性谈判文件予以澄清。</w:t>
      </w:r>
    </w:p>
    <w:p w14:paraId="60AF1A0D">
      <w:pPr>
        <w:spacing w:line="360" w:lineRule="auto"/>
        <w:ind w:firstLine="480" w:firstLineChars="200"/>
        <w:rPr>
          <w:rFonts w:hint="eastAsia" w:ascii="宋体" w:hAnsi="宋体"/>
          <w:sz w:val="24"/>
        </w:rPr>
      </w:pPr>
      <w:r>
        <w:rPr>
          <w:rFonts w:hint="eastAsia" w:ascii="宋体" w:hAnsi="宋体"/>
          <w:sz w:val="24"/>
        </w:rPr>
        <w:t>2.2.2 竞争性谈判文件的澄清将在供应商须知前附表规定的报价截止时间前以书面形式发给所有购买竞争性谈判文件的供应商，但不指明澄清问题的来源。如果澄清发出的时间距报价截止时间不足，相应延长报价截止时间。</w:t>
      </w:r>
    </w:p>
    <w:p w14:paraId="628B6BC0">
      <w:pPr>
        <w:spacing w:line="360" w:lineRule="auto"/>
        <w:ind w:firstLine="480" w:firstLineChars="200"/>
        <w:rPr>
          <w:rFonts w:hint="eastAsia" w:ascii="宋体" w:hAnsi="宋体"/>
          <w:sz w:val="24"/>
        </w:rPr>
      </w:pPr>
      <w:r>
        <w:rPr>
          <w:rFonts w:hint="eastAsia" w:ascii="宋体" w:hAnsi="宋体"/>
          <w:sz w:val="24"/>
        </w:rPr>
        <w:t>2.2.3 供应商在收到澄清后，应在供应商须知前附表规定的时间内以书面形式通知采购人/代理机构，确认已收到该澄清。</w:t>
      </w:r>
    </w:p>
    <w:p w14:paraId="51F84190">
      <w:pPr>
        <w:pStyle w:val="22"/>
      </w:pPr>
      <w:r>
        <w:rPr>
          <w:rFonts w:hint="eastAsia"/>
        </w:rPr>
        <w:t xml:space="preserve">2.3 </w:t>
      </w:r>
      <w:bookmarkEnd w:id="39"/>
      <w:bookmarkEnd w:id="40"/>
      <w:r>
        <w:rPr>
          <w:rFonts w:hint="eastAsia" w:ascii="Arial" w:hAnsi="Arial" w:cs="Times New Roman"/>
          <w:b w:val="0"/>
          <w:bCs w:val="0"/>
          <w:lang w:val="en-US" w:eastAsia="zh-CN"/>
        </w:rPr>
        <w:t>竞争性谈判文件的修改</w:t>
      </w:r>
    </w:p>
    <w:p w14:paraId="161063DB">
      <w:pPr>
        <w:spacing w:line="360" w:lineRule="auto"/>
        <w:ind w:firstLine="480" w:firstLineChars="200"/>
        <w:rPr>
          <w:rFonts w:hint="eastAsia" w:ascii="宋体" w:hAnsi="宋体"/>
          <w:sz w:val="24"/>
        </w:rPr>
      </w:pPr>
      <w:r>
        <w:rPr>
          <w:rFonts w:hint="eastAsia" w:ascii="宋体" w:hAnsi="宋体"/>
          <w:sz w:val="24"/>
        </w:rPr>
        <w:t>2.3.1 在报价截止时间前，采购人可以书面形式修改竞争性谈判文件，并通知所有已购买竞争性谈判文件的供应商。</w:t>
      </w:r>
    </w:p>
    <w:p w14:paraId="69C986F1">
      <w:pPr>
        <w:spacing w:line="360" w:lineRule="auto"/>
        <w:ind w:firstLine="480" w:firstLineChars="200"/>
        <w:jc w:val="left"/>
        <w:rPr>
          <w:rFonts w:ascii="宋体" w:hAnsi="宋体" w:cs="仿宋"/>
          <w:sz w:val="24"/>
        </w:rPr>
      </w:pPr>
      <w:r>
        <w:rPr>
          <w:rFonts w:hint="eastAsia" w:ascii="宋体" w:hAnsi="宋体"/>
          <w:sz w:val="24"/>
        </w:rPr>
        <w:t>2.3.2 供应商收到修改内容后，应在供应商须知前附表规定的时间内以书面形式通知采购人/代理机构，确认已收到该修改。</w:t>
      </w:r>
    </w:p>
    <w:p w14:paraId="01B309B5">
      <w:pPr>
        <w:spacing w:line="360" w:lineRule="auto"/>
        <w:jc w:val="center"/>
        <w:rPr>
          <w:rStyle w:val="21"/>
          <w:rFonts w:hint="eastAsia" w:ascii="宋体" w:hAnsi="宋体"/>
          <w:b/>
        </w:rPr>
      </w:pPr>
      <w:r>
        <w:rPr>
          <w:rStyle w:val="21"/>
          <w:rFonts w:hint="eastAsia" w:ascii="宋体" w:hAnsi="宋体"/>
          <w:b/>
        </w:rPr>
        <w:t>3、</w:t>
      </w:r>
      <w:r>
        <w:rPr>
          <w:rStyle w:val="21"/>
          <w:rFonts w:hint="eastAsia" w:eastAsia="宋体"/>
          <w:b/>
          <w:lang w:val="en-US" w:eastAsia="zh-CN"/>
        </w:rPr>
        <w:t>响应</w:t>
      </w:r>
      <w:r>
        <w:rPr>
          <w:rStyle w:val="21"/>
          <w:rFonts w:hint="eastAsia" w:ascii="宋体" w:hAnsi="宋体"/>
          <w:b/>
        </w:rPr>
        <w:t>文件</w:t>
      </w:r>
    </w:p>
    <w:p w14:paraId="7B7845A8">
      <w:pPr>
        <w:pStyle w:val="22"/>
      </w:pPr>
      <w:bookmarkStart w:id="41" w:name="_Toc507936029"/>
      <w:bookmarkStart w:id="42" w:name="_Toc506105835"/>
      <w:r>
        <w:rPr>
          <w:rFonts w:hint="eastAsia"/>
        </w:rPr>
        <w:t xml:space="preserve">3.1 </w:t>
      </w:r>
      <w:r>
        <w:rPr>
          <w:rFonts w:hint="eastAsia"/>
          <w:lang w:val="en-US" w:eastAsia="zh-CN"/>
        </w:rPr>
        <w:t>响应</w:t>
      </w:r>
      <w:r>
        <w:rPr>
          <w:rFonts w:hint="eastAsia"/>
        </w:rPr>
        <w:t>文件的组成</w:t>
      </w:r>
      <w:bookmarkEnd w:id="41"/>
      <w:bookmarkEnd w:id="42"/>
    </w:p>
    <w:p w14:paraId="25C6236D">
      <w:pPr>
        <w:pStyle w:val="22"/>
        <w:tabs>
          <w:tab w:val="clear" w:pos="851"/>
        </w:tabs>
        <w:ind w:left="491" w:leftChars="0" w:hanging="491" w:firstLineChars="0"/>
        <w:rPr>
          <w:rFonts w:hint="eastAsia" w:ascii="Arial" w:hAnsi="Arial" w:cs="Times New Roman"/>
          <w:b w:val="0"/>
          <w:bCs w:val="0"/>
        </w:rPr>
      </w:pPr>
      <w:r>
        <w:rPr>
          <w:rFonts w:hint="eastAsia" w:ascii="Arial" w:hAnsi="Arial" w:cs="Times New Roman"/>
          <w:b w:val="0"/>
          <w:bCs w:val="0"/>
        </w:rPr>
        <w:t xml:space="preserve">3.1 </w:t>
      </w:r>
      <w:r>
        <w:rPr>
          <w:rFonts w:hint="eastAsia" w:ascii="宋体" w:hAnsi="宋体" w:eastAsia="宋体" w:cs="宋体"/>
          <w:b w:val="0"/>
          <w:bCs w:val="0"/>
          <w:sz w:val="24"/>
          <w:szCs w:val="24"/>
          <w:lang w:val="en-US" w:eastAsia="zh-CN" w:bidi="ar-SA"/>
        </w:rPr>
        <w:t>供应商在谈判过程中作出的符合法律法规和谈判文件规定的澄清确认，构成响应文件的组成部分。</w:t>
      </w:r>
    </w:p>
    <w:p w14:paraId="7C42CA5B">
      <w:pPr>
        <w:pStyle w:val="22"/>
      </w:pPr>
      <w:bookmarkStart w:id="43" w:name="_Toc507936030"/>
      <w:bookmarkStart w:id="44" w:name="_Toc506105836"/>
      <w:bookmarkStart w:id="45" w:name="_Toc406766394"/>
      <w:r>
        <w:rPr>
          <w:rFonts w:hint="eastAsia"/>
        </w:rPr>
        <w:t>3.2 报价</w:t>
      </w:r>
      <w:bookmarkEnd w:id="43"/>
      <w:bookmarkEnd w:id="44"/>
      <w:bookmarkEnd w:id="45"/>
    </w:p>
    <w:p w14:paraId="15BE4CB9">
      <w:pPr>
        <w:spacing w:line="360" w:lineRule="auto"/>
        <w:ind w:firstLine="480" w:firstLineChars="200"/>
        <w:rPr>
          <w:rFonts w:hint="eastAsia" w:ascii="宋体" w:hAnsi="宋体" w:eastAsia="宋体" w:cs="仿宋"/>
          <w:sz w:val="24"/>
          <w:lang w:val="en-US" w:eastAsia="zh-CN"/>
        </w:rPr>
      </w:pPr>
      <w:r>
        <w:rPr>
          <w:rFonts w:hint="eastAsia" w:ascii="宋体" w:hAnsi="宋体" w:cs="仿宋"/>
          <w:sz w:val="24"/>
        </w:rPr>
        <w:t xml:space="preserve">3.2.1 </w:t>
      </w:r>
      <w:r>
        <w:rPr>
          <w:rFonts w:hint="eastAsia" w:ascii="宋体" w:hAnsi="宋体" w:cs="宋体"/>
          <w:color w:val="auto"/>
          <w:sz w:val="24"/>
        </w:rPr>
        <w:t>报价币种</w:t>
      </w:r>
      <w:r>
        <w:rPr>
          <w:rFonts w:hint="eastAsia" w:cs="宋体"/>
          <w:color w:val="auto"/>
          <w:sz w:val="24"/>
          <w:lang w:eastAsia="zh-CN"/>
        </w:rPr>
        <w:t>：</w:t>
      </w:r>
      <w:r>
        <w:rPr>
          <w:rFonts w:hint="eastAsia" w:ascii="宋体" w:hAnsi="宋体" w:cs="宋体"/>
          <w:color w:val="auto"/>
          <w:sz w:val="24"/>
        </w:rPr>
        <w:t>人民币</w:t>
      </w:r>
      <w:r>
        <w:rPr>
          <w:rFonts w:hint="eastAsia" w:cs="宋体"/>
          <w:color w:val="auto"/>
          <w:sz w:val="24"/>
          <w:lang w:eastAsia="zh-CN"/>
        </w:rPr>
        <w:t>；</w:t>
      </w:r>
      <w:r>
        <w:rPr>
          <w:rFonts w:hint="eastAsia" w:cs="宋体"/>
          <w:sz w:val="24"/>
          <w:lang w:val="en-US" w:eastAsia="zh-CN"/>
        </w:rPr>
        <w:t>报价</w:t>
      </w:r>
      <w:r>
        <w:rPr>
          <w:rFonts w:hint="eastAsia" w:ascii="宋体" w:hAnsi="宋体" w:cs="宋体"/>
          <w:sz w:val="24"/>
        </w:rPr>
        <w:t>为</w:t>
      </w:r>
      <w:r>
        <w:rPr>
          <w:rFonts w:hint="eastAsia" w:cs="宋体"/>
          <w:sz w:val="24"/>
          <w:lang w:val="en-US" w:eastAsia="zh-CN"/>
        </w:rPr>
        <w:t>含</w:t>
      </w:r>
      <w:r>
        <w:rPr>
          <w:rFonts w:hint="eastAsia" w:ascii="宋体" w:hAnsi="宋体" w:cs="宋体"/>
          <w:sz w:val="24"/>
        </w:rPr>
        <w:t>增值税价格</w:t>
      </w:r>
      <w:r>
        <w:rPr>
          <w:rFonts w:hint="eastAsia" w:cs="宋体"/>
          <w:sz w:val="24"/>
          <w:lang w:eastAsia="zh-CN"/>
        </w:rPr>
        <w:t>。</w:t>
      </w:r>
    </w:p>
    <w:p w14:paraId="0B03F824">
      <w:pPr>
        <w:spacing w:line="360" w:lineRule="auto"/>
        <w:ind w:firstLine="480" w:firstLineChars="200"/>
        <w:rPr>
          <w:rFonts w:ascii="宋体" w:hAnsi="宋体" w:cs="仿宋"/>
          <w:sz w:val="24"/>
        </w:rPr>
      </w:pPr>
      <w:r>
        <w:rPr>
          <w:rFonts w:hint="eastAsia" w:ascii="宋体" w:hAnsi="宋体" w:cs="仿宋"/>
          <w:sz w:val="24"/>
        </w:rPr>
        <w:t xml:space="preserve">3.2.2 </w:t>
      </w:r>
      <w:r>
        <w:rPr>
          <w:rFonts w:hint="eastAsia" w:cs="仿宋"/>
          <w:sz w:val="24"/>
          <w:lang w:val="en-US" w:eastAsia="zh-CN"/>
        </w:rPr>
        <w:t>供应商</w:t>
      </w:r>
      <w:r>
        <w:rPr>
          <w:rFonts w:hint="eastAsia" w:ascii="宋体" w:hAnsi="宋体" w:cs="仿宋"/>
          <w:sz w:val="24"/>
        </w:rPr>
        <w:t>在</w:t>
      </w:r>
      <w:r>
        <w:rPr>
          <w:rFonts w:hint="eastAsia" w:cs="仿宋"/>
          <w:sz w:val="24"/>
          <w:lang w:val="en-US" w:eastAsia="zh-CN"/>
        </w:rPr>
        <w:t>谈判开始</w:t>
      </w:r>
      <w:r>
        <w:rPr>
          <w:rFonts w:hint="eastAsia" w:ascii="宋体" w:hAnsi="宋体" w:cs="仿宋"/>
          <w:sz w:val="24"/>
        </w:rPr>
        <w:t>时间前修改</w:t>
      </w:r>
      <w:r>
        <w:rPr>
          <w:rFonts w:hint="eastAsia" w:cs="仿宋"/>
          <w:sz w:val="24"/>
          <w:lang w:val="en-US" w:eastAsia="zh-CN"/>
        </w:rPr>
        <w:t>报价</w:t>
      </w:r>
      <w:r>
        <w:rPr>
          <w:rFonts w:hint="eastAsia" w:ascii="宋体" w:hAnsi="宋体" w:cs="仿宋"/>
          <w:sz w:val="24"/>
        </w:rPr>
        <w:t>函中的总报价，应同时修改“报价组成表”中的相应价格。此修改须符合本章第4.3款的有关规定。　</w:t>
      </w:r>
    </w:p>
    <w:p w14:paraId="38C5DE96">
      <w:pPr>
        <w:pStyle w:val="22"/>
      </w:pPr>
      <w:bookmarkStart w:id="46" w:name="_Toc507936031"/>
      <w:bookmarkStart w:id="47" w:name="_Toc406766395"/>
      <w:bookmarkStart w:id="48" w:name="_Toc506105837"/>
      <w:r>
        <w:rPr>
          <w:rFonts w:hint="eastAsia"/>
        </w:rPr>
        <w:t xml:space="preserve">3.3 </w:t>
      </w:r>
      <w:r>
        <w:rPr>
          <w:rFonts w:hint="eastAsia"/>
          <w:lang w:val="en-US" w:eastAsia="zh-CN"/>
        </w:rPr>
        <w:t>谈判</w:t>
      </w:r>
      <w:r>
        <w:rPr>
          <w:rFonts w:hint="eastAsia"/>
        </w:rPr>
        <w:t>有效期</w:t>
      </w:r>
      <w:bookmarkEnd w:id="46"/>
      <w:bookmarkEnd w:id="47"/>
      <w:bookmarkEnd w:id="48"/>
    </w:p>
    <w:p w14:paraId="4B240693">
      <w:pPr>
        <w:spacing w:line="360" w:lineRule="auto"/>
        <w:ind w:firstLine="480" w:firstLineChars="200"/>
        <w:rPr>
          <w:rFonts w:hint="eastAsia" w:ascii="宋体" w:hAnsi="宋体"/>
          <w:sz w:val="24"/>
        </w:rPr>
      </w:pPr>
      <w:r>
        <w:rPr>
          <w:rFonts w:hint="eastAsia" w:ascii="宋体" w:hAnsi="宋体" w:cs="仿宋"/>
          <w:sz w:val="24"/>
        </w:rPr>
        <w:t>3.3.1</w:t>
      </w:r>
      <w:r>
        <w:rPr>
          <w:rFonts w:hint="eastAsia" w:cs="仿宋"/>
          <w:sz w:val="24"/>
          <w:lang w:val="en-US" w:eastAsia="zh-CN"/>
        </w:rPr>
        <w:t>谈判</w:t>
      </w:r>
      <w:r>
        <w:rPr>
          <w:rFonts w:hint="eastAsia" w:ascii="宋体" w:hAnsi="宋体" w:cs="仿宋"/>
          <w:sz w:val="24"/>
        </w:rPr>
        <w:t>有效期：</w:t>
      </w:r>
      <w:r>
        <w:rPr>
          <w:rFonts w:hint="eastAsia" w:ascii="宋体" w:hAnsi="宋体"/>
          <w:sz w:val="24"/>
        </w:rPr>
        <w:t>在供应商须知前附表规定的报价有效期内，供应商不得要求撤销或修改其响应文件。</w:t>
      </w:r>
    </w:p>
    <w:p w14:paraId="0E479BEE">
      <w:pPr>
        <w:spacing w:line="360" w:lineRule="auto"/>
        <w:ind w:firstLine="480" w:firstLineChars="200"/>
        <w:rPr>
          <w:rFonts w:ascii="宋体" w:hAnsi="宋体" w:cs="仿宋"/>
          <w:sz w:val="24"/>
        </w:rPr>
      </w:pPr>
      <w:r>
        <w:rPr>
          <w:rFonts w:hint="eastAsia" w:ascii="宋体" w:hAnsi="宋体" w:cs="仿宋"/>
          <w:sz w:val="24"/>
        </w:rPr>
        <w:t>3.3.2 出现特殊情况需要延长</w:t>
      </w:r>
      <w:r>
        <w:rPr>
          <w:rFonts w:hint="eastAsia" w:cs="仿宋"/>
          <w:sz w:val="24"/>
          <w:lang w:val="en-US" w:eastAsia="zh-CN"/>
        </w:rPr>
        <w:t>谈判</w:t>
      </w:r>
      <w:r>
        <w:rPr>
          <w:rFonts w:hint="eastAsia" w:ascii="宋体" w:hAnsi="宋体" w:cs="仿宋"/>
          <w:sz w:val="24"/>
        </w:rPr>
        <w:t>有效期的，</w:t>
      </w:r>
      <w:r>
        <w:rPr>
          <w:rFonts w:hint="eastAsia" w:cs="仿宋"/>
          <w:sz w:val="24"/>
          <w:lang w:val="en-US" w:eastAsia="zh-CN"/>
        </w:rPr>
        <w:t>采购</w:t>
      </w:r>
      <w:r>
        <w:rPr>
          <w:rFonts w:hint="eastAsia" w:ascii="宋体" w:hAnsi="宋体" w:cs="仿宋"/>
          <w:sz w:val="24"/>
        </w:rPr>
        <w:t>人以书面形式通知所有</w:t>
      </w:r>
      <w:r>
        <w:rPr>
          <w:rFonts w:hint="eastAsia" w:cs="仿宋"/>
          <w:sz w:val="24"/>
          <w:lang w:val="en-US" w:eastAsia="zh-CN"/>
        </w:rPr>
        <w:t>供应商</w:t>
      </w:r>
      <w:r>
        <w:rPr>
          <w:rFonts w:hint="eastAsia" w:ascii="宋体" w:hAnsi="宋体" w:cs="仿宋"/>
          <w:sz w:val="24"/>
        </w:rPr>
        <w:t>延长</w:t>
      </w:r>
      <w:r>
        <w:rPr>
          <w:rFonts w:hint="eastAsia" w:cs="仿宋"/>
          <w:sz w:val="24"/>
          <w:lang w:val="en-US" w:eastAsia="zh-CN"/>
        </w:rPr>
        <w:t>谈判</w:t>
      </w:r>
      <w:r>
        <w:rPr>
          <w:rFonts w:hint="eastAsia" w:ascii="宋体" w:hAnsi="宋体" w:cs="仿宋"/>
          <w:sz w:val="24"/>
        </w:rPr>
        <w:t>有效期。</w:t>
      </w:r>
      <w:r>
        <w:rPr>
          <w:rFonts w:hint="eastAsia" w:cs="仿宋"/>
          <w:sz w:val="24"/>
          <w:lang w:val="en-US" w:eastAsia="zh-CN"/>
        </w:rPr>
        <w:t>供应商</w:t>
      </w:r>
      <w:r>
        <w:rPr>
          <w:rFonts w:hint="eastAsia" w:ascii="宋体" w:hAnsi="宋体" w:cs="仿宋"/>
          <w:sz w:val="24"/>
        </w:rPr>
        <w:t>同意延长的，应相应延长其</w:t>
      </w:r>
      <w:r>
        <w:rPr>
          <w:rFonts w:hint="eastAsia" w:cs="仿宋"/>
          <w:sz w:val="24"/>
          <w:lang w:val="en-US" w:eastAsia="zh-CN"/>
        </w:rPr>
        <w:t>谈判</w:t>
      </w:r>
      <w:r>
        <w:rPr>
          <w:rFonts w:hint="eastAsia" w:ascii="宋体" w:hAnsi="宋体" w:cs="仿宋"/>
          <w:sz w:val="24"/>
        </w:rPr>
        <w:t>保证金的有效期，但不得要求或被允许修改或撤销其</w:t>
      </w:r>
      <w:r>
        <w:rPr>
          <w:rFonts w:hint="eastAsia" w:cs="仿宋"/>
          <w:sz w:val="24"/>
          <w:lang w:val="en-US" w:eastAsia="zh-CN"/>
        </w:rPr>
        <w:t>响应</w:t>
      </w:r>
      <w:r>
        <w:rPr>
          <w:rFonts w:hint="eastAsia" w:ascii="宋体" w:hAnsi="宋体" w:cs="仿宋"/>
          <w:sz w:val="24"/>
        </w:rPr>
        <w:t>文件；</w:t>
      </w:r>
      <w:r>
        <w:rPr>
          <w:rFonts w:hint="eastAsia" w:cs="仿宋"/>
          <w:sz w:val="24"/>
          <w:lang w:val="en-US" w:eastAsia="zh-CN"/>
        </w:rPr>
        <w:t>供应商</w:t>
      </w:r>
      <w:r>
        <w:rPr>
          <w:rFonts w:hint="eastAsia" w:ascii="宋体" w:hAnsi="宋体" w:cs="仿宋"/>
          <w:sz w:val="24"/>
        </w:rPr>
        <w:t>拒绝延长的，其</w:t>
      </w:r>
      <w:r>
        <w:rPr>
          <w:rFonts w:hint="eastAsia" w:cs="仿宋"/>
          <w:sz w:val="24"/>
          <w:lang w:val="en-US" w:eastAsia="zh-CN"/>
        </w:rPr>
        <w:t>响应文件</w:t>
      </w:r>
      <w:r>
        <w:rPr>
          <w:rFonts w:hint="eastAsia" w:ascii="宋体" w:hAnsi="宋体" w:cs="仿宋"/>
          <w:sz w:val="24"/>
        </w:rPr>
        <w:t>失效，但</w:t>
      </w:r>
      <w:r>
        <w:rPr>
          <w:rFonts w:hint="eastAsia" w:cs="仿宋"/>
          <w:sz w:val="24"/>
          <w:lang w:val="en-US" w:eastAsia="zh-CN"/>
        </w:rPr>
        <w:t>供应商</w:t>
      </w:r>
      <w:r>
        <w:rPr>
          <w:rFonts w:hint="eastAsia" w:ascii="宋体" w:hAnsi="宋体" w:cs="仿宋"/>
          <w:sz w:val="24"/>
        </w:rPr>
        <w:t>有权收回其</w:t>
      </w:r>
      <w:r>
        <w:rPr>
          <w:rFonts w:hint="eastAsia" w:cs="仿宋"/>
          <w:sz w:val="24"/>
          <w:lang w:val="en-US" w:eastAsia="zh-CN"/>
        </w:rPr>
        <w:t>谈判</w:t>
      </w:r>
      <w:r>
        <w:rPr>
          <w:rFonts w:hint="eastAsia" w:ascii="宋体" w:hAnsi="宋体" w:cs="仿宋"/>
          <w:sz w:val="24"/>
        </w:rPr>
        <w:t>保证金。</w:t>
      </w:r>
    </w:p>
    <w:p w14:paraId="784AD9D5">
      <w:pPr>
        <w:pStyle w:val="22"/>
        <w:rPr>
          <w:rFonts w:hint="eastAsia"/>
        </w:rPr>
      </w:pPr>
      <w:bookmarkStart w:id="49" w:name="_Toc506105838"/>
      <w:bookmarkStart w:id="50" w:name="_Toc406766396"/>
      <w:bookmarkStart w:id="51" w:name="_Toc507936032"/>
      <w:r>
        <w:rPr>
          <w:rFonts w:hint="eastAsia"/>
        </w:rPr>
        <w:t xml:space="preserve">3.4 </w:t>
      </w:r>
      <w:r>
        <w:rPr>
          <w:rFonts w:hint="eastAsia"/>
          <w:lang w:val="en-US" w:eastAsia="zh-CN"/>
        </w:rPr>
        <w:t>谈判</w:t>
      </w:r>
      <w:r>
        <w:rPr>
          <w:rFonts w:hint="eastAsia"/>
        </w:rPr>
        <w:t>保证金</w:t>
      </w:r>
      <w:bookmarkEnd w:id="49"/>
      <w:bookmarkEnd w:id="50"/>
      <w:bookmarkEnd w:id="51"/>
    </w:p>
    <w:p w14:paraId="402A0EC6">
      <w:pPr>
        <w:spacing w:line="360" w:lineRule="auto"/>
        <w:ind w:firstLine="480" w:firstLineChars="200"/>
        <w:rPr>
          <w:rFonts w:hint="eastAsia" w:ascii="宋体" w:hAnsi="宋体" w:eastAsia="宋体" w:cs="仿宋"/>
          <w:sz w:val="24"/>
          <w:lang w:val="en-US" w:eastAsia="zh-CN"/>
        </w:rPr>
      </w:pPr>
      <w:bookmarkStart w:id="52" w:name="_Toc507936033"/>
      <w:bookmarkStart w:id="53" w:name="_Toc506105839"/>
      <w:r>
        <w:rPr>
          <w:rFonts w:hint="eastAsia" w:ascii="宋体" w:hAnsi="宋体" w:eastAsia="宋体" w:cs="仿宋"/>
          <w:sz w:val="24"/>
          <w:lang w:val="en-US" w:eastAsia="zh-CN"/>
        </w:rPr>
        <w:t>3.4.1供应商在递交响应文件的同时，应按谈判须知前附表规定的金额、形式递交谈判保证金，并作为其响应文件的组成部分。以现金或者支票形式提交的保证金，应当从其基本账户转出。联合体投标的，其保证金可以由牵头人递交，并应符合谈判人须知前附表的规定。</w:t>
      </w:r>
    </w:p>
    <w:p w14:paraId="72D35B71">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3.4.2供应商不按本章第3.4.1项要求提交谈判保证金的，评审委员会将否决其资格。</w:t>
      </w:r>
    </w:p>
    <w:p w14:paraId="45C69190">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3.4.3有下列情形之一的，保证金将不予退还：</w:t>
      </w:r>
    </w:p>
    <w:p w14:paraId="0B09A0C9">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（1）供应商在报价有效期内撤销响应文件；</w:t>
      </w:r>
    </w:p>
    <w:p w14:paraId="1E17C17C">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（2）成交单位在收到成交通知书后，无正当理由不与采购人订立合同，在签订合同时向采购人提出附加条件，或者不按照谈判文件要求提交履约保证金；</w:t>
      </w:r>
    </w:p>
    <w:p w14:paraId="6EEF8FB9">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（3）发生谈判须知前附表规定的其他可以不予退还保证金的情形。</w:t>
      </w:r>
    </w:p>
    <w:p w14:paraId="76EBC24B">
      <w:pPr>
        <w:pStyle w:val="22"/>
        <w:rPr>
          <w:rFonts w:hint="eastAsia" w:ascii="Arial" w:hAnsi="Arial" w:cs="Times New Roman"/>
          <w:b w:val="0"/>
          <w:bCs w:val="0"/>
          <w:lang w:val="en-US" w:eastAsia="zh-CN"/>
        </w:rPr>
      </w:pPr>
      <w:r>
        <w:rPr>
          <w:rFonts w:hint="eastAsia" w:ascii="Arial" w:hAnsi="Arial" w:cs="Times New Roman"/>
          <w:b w:val="0"/>
          <w:bCs w:val="0"/>
          <w:lang w:val="en-US" w:eastAsia="zh-CN"/>
        </w:rPr>
        <w:t>3.5 资格审查资料</w:t>
      </w:r>
      <w:bookmarkEnd w:id="52"/>
      <w:bookmarkEnd w:id="53"/>
    </w:p>
    <w:p w14:paraId="1CA65831">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除谈判须知前附表另有规定外，供应商应按下列规定提供资格审查资料，以证明其满足本章第1.4款规定的资质、财务、业绩、信誉等要求。</w:t>
      </w:r>
    </w:p>
    <w:p w14:paraId="5EABA1CF">
      <w:pPr>
        <w:spacing w:line="360" w:lineRule="auto"/>
        <w:ind w:firstLine="480" w:firstLineChars="200"/>
        <w:rPr>
          <w:rFonts w:hint="eastAsia" w:ascii="仿宋" w:hAnsi="仿宋" w:eastAsia="宋体" w:cs="Times New Roman"/>
          <w:sz w:val="28"/>
          <w:szCs w:val="28"/>
          <w:lang w:eastAsia="zh-CN"/>
        </w:rPr>
      </w:pPr>
      <w:r>
        <w:rPr>
          <w:rFonts w:hint="eastAsia" w:ascii="宋体" w:hAnsi="宋体" w:eastAsia="宋体" w:cs="仿宋"/>
          <w:sz w:val="24"/>
          <w:lang w:val="en-US" w:eastAsia="zh-CN"/>
        </w:rPr>
        <w:t>3.5.1 “供应商基本情况表”</w:t>
      </w:r>
      <w:r>
        <w:rPr>
          <w:rFonts w:ascii="宋体" w:hAnsi="宋体" w:eastAsia="宋体"/>
          <w:kern w:val="0"/>
          <w:szCs w:val="21"/>
        </w:rPr>
        <w:t>应附</w:t>
      </w:r>
      <w:r>
        <w:rPr>
          <w:rFonts w:hint="eastAsia" w:ascii="宋体" w:hAnsi="宋体" w:eastAsia="宋体"/>
          <w:kern w:val="0"/>
          <w:szCs w:val="21"/>
          <w:lang w:val="en-US" w:eastAsia="zh-CN"/>
        </w:rPr>
        <w:t>营业执照、</w:t>
      </w:r>
      <w:r>
        <w:rPr>
          <w:rFonts w:ascii="宋体" w:hAnsi="宋体" w:eastAsia="宋体"/>
          <w:kern w:val="0"/>
          <w:szCs w:val="21"/>
        </w:rPr>
        <w:t>资质证书副本等材料的</w:t>
      </w:r>
      <w:r>
        <w:rPr>
          <w:rFonts w:hint="eastAsia" w:ascii="宋体" w:hAnsi="宋体" w:eastAsia="宋体"/>
          <w:kern w:val="0"/>
          <w:szCs w:val="21"/>
          <w:lang w:eastAsia="zh-CN"/>
        </w:rPr>
        <w:t>原件扫描件。</w:t>
      </w:r>
    </w:p>
    <w:p w14:paraId="5D3B88A8">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3.5.2 “近年财务状况表”应附经会计师事务所或审计机构审计的财务会计报表扫描件，具体年份要求见谈判须知前附表。</w:t>
      </w:r>
    </w:p>
    <w:p w14:paraId="69E70A97">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3.5.3“近年完成的业绩情况表”应附合同的原件扫描件，具体时间要求见谈判须知前附表。</w:t>
      </w:r>
    </w:p>
    <w:p w14:paraId="3A663A86">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3.5.4“近年发生的诉讼及仲裁情况”应附败诉的买卖合同的相关情况，并附法院或仲裁机构作出的判决、裁决等有关法律文书，具体时间要求见谈判须知前附表。</w:t>
      </w:r>
    </w:p>
    <w:p w14:paraId="618227B2">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3.5.5供应商认为有必要提供的其他证明文件。</w:t>
      </w:r>
    </w:p>
    <w:p w14:paraId="2451D1CA">
      <w:pPr>
        <w:pStyle w:val="22"/>
        <w:rPr>
          <w:rFonts w:hint="eastAsia" w:ascii="Arial" w:hAnsi="Arial" w:cs="Times New Roman"/>
          <w:b w:val="0"/>
          <w:bCs w:val="0"/>
        </w:rPr>
      </w:pPr>
      <w:bookmarkStart w:id="54" w:name="_Toc507936034"/>
      <w:bookmarkStart w:id="55" w:name="_Toc506105840"/>
      <w:r>
        <w:rPr>
          <w:rFonts w:hint="eastAsia" w:ascii="Arial" w:hAnsi="Arial" w:cs="Times New Roman"/>
          <w:b w:val="0"/>
          <w:bCs w:val="0"/>
        </w:rPr>
        <w:t>3.6 备选方案</w:t>
      </w:r>
      <w:bookmarkEnd w:id="54"/>
      <w:bookmarkEnd w:id="55"/>
    </w:p>
    <w:p w14:paraId="3887782F">
      <w:pPr>
        <w:spacing w:line="360" w:lineRule="auto"/>
        <w:ind w:firstLine="480" w:firstLineChars="200"/>
        <w:rPr>
          <w:rFonts w:hint="eastAsia" w:ascii="宋体" w:hAnsi="宋体" w:eastAsia="宋体" w:cs="仿宋"/>
          <w:sz w:val="24"/>
        </w:rPr>
      </w:pPr>
      <w:r>
        <w:rPr>
          <w:rFonts w:hint="eastAsia" w:ascii="宋体" w:hAnsi="宋体" w:eastAsia="宋体" w:cs="仿宋"/>
          <w:sz w:val="24"/>
        </w:rPr>
        <w:t>3.6.1本</w:t>
      </w:r>
      <w:r>
        <w:rPr>
          <w:rFonts w:hint="eastAsia" w:ascii="宋体" w:hAnsi="宋体" w:eastAsia="宋体" w:cs="仿宋"/>
          <w:sz w:val="24"/>
          <w:lang w:val="en-US" w:eastAsia="zh-CN"/>
        </w:rPr>
        <w:t>次谈判</w:t>
      </w:r>
      <w:r>
        <w:rPr>
          <w:rFonts w:hint="eastAsia" w:ascii="宋体" w:hAnsi="宋体" w:eastAsia="宋体" w:cs="仿宋"/>
          <w:sz w:val="24"/>
        </w:rPr>
        <w:t>不接受备选方案。</w:t>
      </w:r>
    </w:p>
    <w:p w14:paraId="4B9B3343">
      <w:pPr>
        <w:pStyle w:val="22"/>
      </w:pPr>
      <w:bookmarkStart w:id="56" w:name="_Toc506105841"/>
      <w:bookmarkStart w:id="57" w:name="_Toc507936035"/>
      <w:r>
        <w:rPr>
          <w:rFonts w:hint="eastAsia"/>
        </w:rPr>
        <w:t xml:space="preserve">3.7 </w:t>
      </w:r>
      <w:r>
        <w:rPr>
          <w:rFonts w:hint="eastAsia"/>
          <w:lang w:val="en-US" w:eastAsia="zh-CN"/>
        </w:rPr>
        <w:t>响应</w:t>
      </w:r>
      <w:r>
        <w:rPr>
          <w:rFonts w:hint="eastAsia"/>
        </w:rPr>
        <w:t>文件的编制</w:t>
      </w:r>
      <w:bookmarkEnd w:id="56"/>
      <w:bookmarkEnd w:id="57"/>
    </w:p>
    <w:p w14:paraId="071A4C15">
      <w:pPr>
        <w:spacing w:line="360" w:lineRule="auto"/>
        <w:ind w:firstLine="480" w:firstLineChars="200"/>
        <w:rPr>
          <w:rFonts w:ascii="宋体" w:hAnsi="宋体" w:cs="仿宋"/>
          <w:sz w:val="24"/>
        </w:rPr>
      </w:pPr>
      <w:r>
        <w:rPr>
          <w:rFonts w:hint="eastAsia" w:ascii="宋体" w:hAnsi="宋体" w:cs="仿宋"/>
          <w:sz w:val="24"/>
        </w:rPr>
        <w:t>3.7.1</w:t>
      </w:r>
      <w:r>
        <w:rPr>
          <w:rFonts w:hint="eastAsia" w:cs="仿宋"/>
          <w:sz w:val="24"/>
          <w:lang w:val="en-US" w:eastAsia="zh-CN"/>
        </w:rPr>
        <w:t>响应</w:t>
      </w:r>
      <w:r>
        <w:rPr>
          <w:rFonts w:hint="eastAsia" w:ascii="宋体" w:hAnsi="宋体" w:cs="仿宋"/>
          <w:sz w:val="24"/>
        </w:rPr>
        <w:t>文件应按《第五章</w:t>
      </w:r>
      <w:r>
        <w:rPr>
          <w:rFonts w:hint="eastAsia" w:cs="仿宋"/>
          <w:sz w:val="24"/>
          <w:lang w:val="en-US" w:eastAsia="zh-CN"/>
        </w:rPr>
        <w:t>响应</w:t>
      </w:r>
      <w:r>
        <w:rPr>
          <w:rFonts w:hint="eastAsia" w:ascii="宋体" w:hAnsi="宋体" w:cs="仿宋"/>
          <w:sz w:val="24"/>
        </w:rPr>
        <w:t>文件格式及内容》要求进行编写。</w:t>
      </w:r>
    </w:p>
    <w:p w14:paraId="691EE585">
      <w:pPr>
        <w:spacing w:line="360" w:lineRule="auto"/>
        <w:ind w:firstLine="480" w:firstLineChars="200"/>
        <w:rPr>
          <w:rFonts w:ascii="宋体" w:hAnsi="宋体" w:cs="仿宋"/>
          <w:sz w:val="24"/>
        </w:rPr>
      </w:pPr>
      <w:r>
        <w:rPr>
          <w:rFonts w:hint="eastAsia" w:ascii="宋体" w:hAnsi="宋体" w:cs="仿宋"/>
          <w:sz w:val="24"/>
        </w:rPr>
        <w:t>3.7.2</w:t>
      </w:r>
      <w:r>
        <w:rPr>
          <w:rFonts w:hint="eastAsia" w:cs="仿宋"/>
          <w:sz w:val="24"/>
          <w:lang w:val="en-US" w:eastAsia="zh-CN"/>
        </w:rPr>
        <w:t>响应</w:t>
      </w:r>
      <w:r>
        <w:rPr>
          <w:rFonts w:hint="eastAsia" w:ascii="宋体" w:hAnsi="宋体" w:cs="仿宋"/>
          <w:sz w:val="24"/>
        </w:rPr>
        <w:t>文件应当对</w:t>
      </w:r>
      <w:r>
        <w:rPr>
          <w:rFonts w:hint="eastAsia" w:cs="仿宋"/>
          <w:sz w:val="24"/>
          <w:lang w:val="en-US" w:eastAsia="zh-CN"/>
        </w:rPr>
        <w:t>谈判</w:t>
      </w:r>
      <w:r>
        <w:rPr>
          <w:rFonts w:hint="eastAsia" w:ascii="宋体" w:hAnsi="宋体" w:cs="仿宋"/>
          <w:sz w:val="24"/>
        </w:rPr>
        <w:t>文件有关交货期、</w:t>
      </w:r>
      <w:r>
        <w:rPr>
          <w:rFonts w:hint="eastAsia" w:cs="仿宋"/>
          <w:sz w:val="24"/>
          <w:lang w:val="en-US" w:eastAsia="zh-CN"/>
        </w:rPr>
        <w:t>谈判</w:t>
      </w:r>
      <w:r>
        <w:rPr>
          <w:rFonts w:hint="eastAsia" w:ascii="宋体" w:hAnsi="宋体" w:cs="仿宋"/>
          <w:sz w:val="24"/>
        </w:rPr>
        <w:t>有效期、质量要求、技术</w:t>
      </w:r>
      <w:r>
        <w:rPr>
          <w:rFonts w:hint="eastAsia" w:cs="仿宋"/>
          <w:sz w:val="24"/>
          <w:lang w:val="en-US" w:eastAsia="zh-CN"/>
        </w:rPr>
        <w:t>标准和</w:t>
      </w:r>
      <w:r>
        <w:rPr>
          <w:rFonts w:hint="eastAsia" w:ascii="宋体" w:hAnsi="宋体" w:cs="仿宋"/>
          <w:sz w:val="24"/>
        </w:rPr>
        <w:t>要求、</w:t>
      </w:r>
      <w:r>
        <w:rPr>
          <w:rFonts w:hint="eastAsia" w:cs="仿宋"/>
          <w:sz w:val="24"/>
          <w:lang w:val="en-US" w:eastAsia="zh-CN"/>
        </w:rPr>
        <w:t>采购</w:t>
      </w:r>
      <w:r>
        <w:rPr>
          <w:rFonts w:hint="eastAsia" w:ascii="宋体" w:hAnsi="宋体" w:cs="仿宋"/>
          <w:sz w:val="24"/>
        </w:rPr>
        <w:t>范围等实质性内容作出响应。</w:t>
      </w:r>
    </w:p>
    <w:p w14:paraId="11F27E68">
      <w:pPr>
        <w:spacing w:line="360" w:lineRule="auto"/>
        <w:ind w:firstLine="480" w:firstLineChars="200"/>
        <w:rPr>
          <w:rFonts w:ascii="宋体" w:hAnsi="宋体" w:cs="仿宋"/>
          <w:sz w:val="24"/>
        </w:rPr>
      </w:pPr>
      <w:r>
        <w:rPr>
          <w:rFonts w:hint="eastAsia" w:ascii="宋体" w:hAnsi="宋体" w:cs="仿宋"/>
          <w:sz w:val="24"/>
        </w:rPr>
        <w:t>3.7.3</w:t>
      </w:r>
      <w:r>
        <w:rPr>
          <w:rFonts w:hint="eastAsia" w:cs="仿宋"/>
          <w:sz w:val="24"/>
          <w:lang w:val="en-US" w:eastAsia="zh-CN"/>
        </w:rPr>
        <w:t>响应</w:t>
      </w:r>
      <w:r>
        <w:rPr>
          <w:rFonts w:hint="eastAsia" w:ascii="宋体" w:hAnsi="宋体" w:cs="仿宋"/>
          <w:sz w:val="24"/>
        </w:rPr>
        <w:t>文件应用不褪色的材料书写或打印，并由法定代表人或其委托代理人签字或盖</w:t>
      </w:r>
      <w:r>
        <w:rPr>
          <w:rFonts w:hint="eastAsia" w:cs="仿宋"/>
          <w:sz w:val="24"/>
          <w:lang w:val="en-US" w:eastAsia="zh-CN"/>
        </w:rPr>
        <w:t>公</w:t>
      </w:r>
      <w:r>
        <w:rPr>
          <w:rFonts w:hint="eastAsia" w:ascii="宋体" w:hAnsi="宋体" w:cs="仿宋"/>
          <w:sz w:val="24"/>
        </w:rPr>
        <w:t>章。签字或盖章的具体要求见</w:t>
      </w:r>
      <w:r>
        <w:rPr>
          <w:rFonts w:hint="eastAsia" w:cs="仿宋"/>
          <w:sz w:val="24"/>
          <w:lang w:val="en-US" w:eastAsia="zh-CN"/>
        </w:rPr>
        <w:t>谈判</w:t>
      </w:r>
      <w:r>
        <w:rPr>
          <w:rFonts w:hint="eastAsia" w:ascii="宋体" w:hAnsi="宋体" w:cs="仿宋"/>
          <w:sz w:val="24"/>
        </w:rPr>
        <w:t>须知前附表。</w:t>
      </w:r>
    </w:p>
    <w:p w14:paraId="77EA2774">
      <w:pPr>
        <w:spacing w:line="360" w:lineRule="auto"/>
        <w:ind w:firstLine="480" w:firstLineChars="200"/>
        <w:rPr>
          <w:rFonts w:ascii="宋体" w:hAnsi="宋体" w:cs="仿宋"/>
          <w:sz w:val="24"/>
        </w:rPr>
      </w:pPr>
      <w:r>
        <w:rPr>
          <w:rFonts w:hint="eastAsia" w:ascii="宋体" w:hAnsi="宋体" w:cs="仿宋"/>
          <w:sz w:val="24"/>
        </w:rPr>
        <w:t>3.7.4</w:t>
      </w:r>
      <w:r>
        <w:rPr>
          <w:rFonts w:hint="eastAsia" w:cs="仿宋"/>
          <w:sz w:val="24"/>
          <w:lang w:val="en-US" w:eastAsia="zh-CN"/>
        </w:rPr>
        <w:t>响应</w:t>
      </w:r>
      <w:r>
        <w:rPr>
          <w:rFonts w:hint="eastAsia" w:ascii="宋体" w:hAnsi="宋体" w:cs="仿宋"/>
          <w:sz w:val="24"/>
        </w:rPr>
        <w:t>文件正本和副本的封面上应清楚地标记“正本”或“副本”的字样。当副本和正本不一致时，以正本为准。</w:t>
      </w:r>
    </w:p>
    <w:p w14:paraId="768AFBC7">
      <w:pPr>
        <w:spacing w:line="360" w:lineRule="auto"/>
        <w:ind w:firstLine="480" w:firstLineChars="200"/>
        <w:rPr>
          <w:rFonts w:ascii="宋体" w:hAnsi="宋体" w:cs="仿宋"/>
          <w:sz w:val="24"/>
        </w:rPr>
      </w:pPr>
      <w:r>
        <w:rPr>
          <w:rFonts w:hint="eastAsia" w:ascii="宋体" w:hAnsi="宋体" w:cs="仿宋"/>
          <w:sz w:val="24"/>
        </w:rPr>
        <w:t>3.7.5</w:t>
      </w:r>
      <w:r>
        <w:rPr>
          <w:rFonts w:hint="eastAsia" w:cs="仿宋"/>
          <w:sz w:val="24"/>
          <w:lang w:val="en-US" w:eastAsia="zh-CN"/>
        </w:rPr>
        <w:t>响应</w:t>
      </w:r>
      <w:r>
        <w:rPr>
          <w:rFonts w:hint="eastAsia" w:ascii="宋体" w:hAnsi="宋体" w:cs="仿宋"/>
          <w:sz w:val="24"/>
        </w:rPr>
        <w:t>文件的正本与副本应分别装订成册，并编制目录，详见</w:t>
      </w:r>
      <w:r>
        <w:rPr>
          <w:rFonts w:hint="eastAsia" w:cs="仿宋"/>
          <w:sz w:val="24"/>
          <w:lang w:val="en-US" w:eastAsia="zh-CN"/>
        </w:rPr>
        <w:t>谈判</w:t>
      </w:r>
      <w:r>
        <w:rPr>
          <w:rFonts w:hint="eastAsia" w:ascii="宋体" w:hAnsi="宋体" w:cs="仿宋"/>
          <w:sz w:val="24"/>
        </w:rPr>
        <w:t>须知前附表。</w:t>
      </w:r>
    </w:p>
    <w:p w14:paraId="3C687AA2">
      <w:pPr>
        <w:spacing w:line="360" w:lineRule="auto"/>
        <w:jc w:val="center"/>
        <w:rPr>
          <w:rStyle w:val="21"/>
          <w:rFonts w:hint="eastAsia" w:ascii="宋体" w:hAnsi="宋体" w:eastAsia="宋体"/>
          <w:b/>
          <w:lang w:eastAsia="zh-CN"/>
        </w:rPr>
      </w:pPr>
      <w:r>
        <w:rPr>
          <w:rStyle w:val="21"/>
          <w:rFonts w:hint="eastAsia" w:ascii="宋体" w:hAnsi="宋体"/>
          <w:b/>
        </w:rPr>
        <w:t>4.</w:t>
      </w:r>
      <w:r>
        <w:rPr>
          <w:rStyle w:val="21"/>
          <w:rFonts w:hint="eastAsia" w:eastAsia="宋体"/>
          <w:b/>
          <w:lang w:val="en-US" w:eastAsia="zh-CN"/>
        </w:rPr>
        <w:t>响应</w:t>
      </w:r>
    </w:p>
    <w:p w14:paraId="3F90883E">
      <w:pPr>
        <w:pStyle w:val="22"/>
      </w:pPr>
      <w:bookmarkStart w:id="58" w:name="_Toc506105844"/>
      <w:bookmarkStart w:id="59" w:name="_Toc507936037"/>
      <w:bookmarkStart w:id="60" w:name="_Toc506105846"/>
      <w:bookmarkStart w:id="61" w:name="_Toc507936039"/>
      <w:r>
        <w:rPr>
          <w:rFonts w:hint="eastAsia"/>
        </w:rPr>
        <w:t>4.</w:t>
      </w:r>
      <w:r>
        <w:rPr>
          <w:rFonts w:hint="eastAsia"/>
          <w:lang w:val="en-US" w:eastAsia="zh-CN"/>
        </w:rPr>
        <w:t>1</w:t>
      </w:r>
      <w:r>
        <w:rPr>
          <w:rFonts w:hint="eastAsia"/>
        </w:rPr>
        <w:t xml:space="preserve"> </w:t>
      </w:r>
      <w:r>
        <w:rPr>
          <w:rFonts w:hint="eastAsia"/>
          <w:lang w:val="en-US" w:eastAsia="zh-CN"/>
        </w:rPr>
        <w:t>响应</w:t>
      </w:r>
      <w:r>
        <w:rPr>
          <w:rFonts w:hint="eastAsia"/>
        </w:rPr>
        <w:t>文件的递交</w:t>
      </w:r>
      <w:bookmarkEnd w:id="58"/>
      <w:bookmarkEnd w:id="59"/>
    </w:p>
    <w:p w14:paraId="10A41842">
      <w:pPr>
        <w:spacing w:line="360" w:lineRule="auto"/>
        <w:ind w:firstLine="480" w:firstLineChars="200"/>
        <w:rPr>
          <w:rFonts w:ascii="宋体" w:hAnsi="宋体" w:cs="仿宋"/>
          <w:sz w:val="24"/>
        </w:rPr>
      </w:pP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64264B99">
      <w:pPr>
        <w:pStyle w:val="22"/>
      </w:pPr>
      <w:bookmarkStart w:id="62" w:name="_Toc506105845"/>
      <w:bookmarkStart w:id="63" w:name="_Toc507936038"/>
      <w:r>
        <w:rPr>
          <w:rFonts w:hint="eastAsia"/>
        </w:rPr>
        <w:t>4.</w:t>
      </w:r>
      <w:r>
        <w:rPr>
          <w:rFonts w:hint="eastAsia"/>
          <w:lang w:val="en-US" w:eastAsia="zh-CN"/>
        </w:rPr>
        <w:t>2</w:t>
      </w:r>
      <w:r>
        <w:rPr>
          <w:rFonts w:hint="eastAsia"/>
        </w:rPr>
        <w:t xml:space="preserve"> </w:t>
      </w:r>
      <w:r>
        <w:rPr>
          <w:rFonts w:hint="eastAsia"/>
          <w:lang w:val="en-US" w:eastAsia="zh-CN"/>
        </w:rPr>
        <w:t>响应</w:t>
      </w:r>
      <w:r>
        <w:rPr>
          <w:rFonts w:hint="eastAsia"/>
        </w:rPr>
        <w:t>文件的修改与撤回</w:t>
      </w:r>
      <w:bookmarkEnd w:id="62"/>
      <w:bookmarkEnd w:id="63"/>
    </w:p>
    <w:p w14:paraId="139C01B4">
      <w:pPr>
        <w:spacing w:line="360" w:lineRule="auto"/>
        <w:ind w:firstLine="480" w:firstLineChars="200"/>
        <w:rPr>
          <w:rFonts w:ascii="宋体" w:hAnsi="宋体" w:cs="仿宋"/>
          <w:sz w:val="24"/>
        </w:rPr>
      </w:pPr>
      <w:r>
        <w:rPr>
          <w:rFonts w:hint="eastAsia" w:ascii="宋体" w:hAnsi="宋体" w:cs="仿宋"/>
          <w:sz w:val="24"/>
        </w:rPr>
        <w:t>在</w:t>
      </w:r>
      <w:r>
        <w:rPr>
          <w:rFonts w:hint="eastAsia" w:cs="仿宋"/>
          <w:sz w:val="24"/>
          <w:lang w:val="en-US" w:eastAsia="zh-CN"/>
        </w:rPr>
        <w:t>上传响应文件截止时间</w:t>
      </w:r>
      <w:r>
        <w:rPr>
          <w:rFonts w:hint="eastAsia" w:ascii="宋体" w:hAnsi="宋体" w:cs="仿宋"/>
          <w:sz w:val="24"/>
        </w:rPr>
        <w:t>前，</w:t>
      </w:r>
      <w:r>
        <w:rPr>
          <w:rFonts w:hint="eastAsia" w:cs="仿宋"/>
          <w:sz w:val="24"/>
          <w:lang w:val="en-US" w:eastAsia="zh-CN"/>
        </w:rPr>
        <w:t>供应商</w:t>
      </w:r>
      <w:r>
        <w:rPr>
          <w:rFonts w:hint="eastAsia" w:ascii="宋体" w:hAnsi="宋体" w:cs="仿宋"/>
          <w:sz w:val="24"/>
        </w:rPr>
        <w:t>可以修改或撤回已递交的</w:t>
      </w:r>
      <w:r>
        <w:rPr>
          <w:rFonts w:hint="eastAsia" w:cs="仿宋"/>
          <w:sz w:val="24"/>
          <w:lang w:val="en-US" w:eastAsia="zh-CN"/>
        </w:rPr>
        <w:t>响应</w:t>
      </w:r>
      <w:r>
        <w:rPr>
          <w:rFonts w:hint="eastAsia" w:ascii="宋体" w:hAnsi="宋体" w:cs="仿宋"/>
          <w:sz w:val="24"/>
        </w:rPr>
        <w:t>文件。</w:t>
      </w:r>
    </w:p>
    <w:p w14:paraId="25403687">
      <w:pPr>
        <w:pStyle w:val="15"/>
        <w:rPr>
          <w:rStyle w:val="21"/>
          <w:rFonts w:hint="eastAsia" w:eastAsia="宋体"/>
          <w:b/>
          <w:bCs/>
          <w:lang w:eastAsia="zh-CN"/>
        </w:rPr>
      </w:pPr>
      <w:r>
        <w:rPr>
          <w:rStyle w:val="21"/>
          <w:rFonts w:hint="eastAsia"/>
          <w:b/>
          <w:bCs/>
        </w:rPr>
        <w:t>5.</w:t>
      </w:r>
      <w:bookmarkEnd w:id="60"/>
      <w:bookmarkEnd w:id="61"/>
      <w:r>
        <w:rPr>
          <w:rStyle w:val="21"/>
          <w:rFonts w:hint="eastAsia" w:eastAsia="宋体"/>
          <w:b/>
          <w:bCs/>
          <w:lang w:val="en-US" w:eastAsia="zh-CN"/>
        </w:rPr>
        <w:t>谈判</w:t>
      </w:r>
    </w:p>
    <w:p w14:paraId="4E17BED2">
      <w:pPr>
        <w:pStyle w:val="22"/>
        <w:rPr>
          <w:rFonts w:hint="eastAsia" w:eastAsia="宋体"/>
          <w:lang w:eastAsia="zh-CN"/>
        </w:rPr>
      </w:pPr>
      <w:bookmarkStart w:id="64" w:name="_Toc506105847"/>
      <w:bookmarkStart w:id="65" w:name="_Toc507936040"/>
      <w:r>
        <w:rPr>
          <w:rFonts w:hint="eastAsia"/>
        </w:rPr>
        <w:t xml:space="preserve">5.1 </w:t>
      </w:r>
      <w:bookmarkEnd w:id="64"/>
      <w:bookmarkEnd w:id="65"/>
      <w:bookmarkStart w:id="66" w:name="_Toc506105848"/>
      <w:r>
        <w:rPr>
          <w:rFonts w:hint="eastAsia"/>
          <w:lang w:val="en-US" w:eastAsia="zh-CN"/>
        </w:rPr>
        <w:t>谈判</w:t>
      </w:r>
    </w:p>
    <w:p w14:paraId="423D045B">
      <w:pPr>
        <w:spacing w:line="360" w:lineRule="auto"/>
        <w:rPr>
          <w:rFonts w:hint="eastAsia" w:ascii="宋体" w:hAnsi="宋体" w:cs="仿宋"/>
          <w:sz w:val="24"/>
        </w:rPr>
      </w:pPr>
      <w:r>
        <w:rPr>
          <w:rFonts w:hint="eastAsia" w:cs="宋体"/>
          <w:sz w:val="24"/>
          <w:lang w:val="en-US" w:eastAsia="zh-CN"/>
        </w:rPr>
        <w:t>谈判</w:t>
      </w:r>
      <w:r>
        <w:rPr>
          <w:rFonts w:hint="eastAsia" w:ascii="宋体" w:hAnsi="宋体" w:cs="宋体"/>
          <w:sz w:val="24"/>
        </w:rPr>
        <w:t>时间和</w:t>
      </w:r>
      <w:r>
        <w:rPr>
          <w:rFonts w:hint="eastAsia" w:cs="宋体"/>
          <w:sz w:val="24"/>
          <w:lang w:val="en-US" w:eastAsia="zh-CN"/>
        </w:rPr>
        <w:t>方式</w:t>
      </w:r>
      <w:r>
        <w:rPr>
          <w:rFonts w:hint="eastAsia" w:ascii="宋体" w:hAnsi="宋体" w:cs="宋体"/>
          <w:sz w:val="24"/>
        </w:rPr>
        <w:t>：</w:t>
      </w: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bookmarkEnd w:id="66"/>
    <w:p w14:paraId="21CD95D0">
      <w:pPr>
        <w:pStyle w:val="15"/>
        <w:rPr>
          <w:rStyle w:val="21"/>
          <w:rFonts w:hint="eastAsia" w:ascii="宋体" w:hAnsi="宋体" w:eastAsia="宋体" w:cs="宋体"/>
          <w:b/>
          <w:bCs/>
          <w:lang w:val="en-US" w:eastAsia="zh-CN"/>
        </w:rPr>
      </w:pPr>
      <w:bookmarkStart w:id="67" w:name="_Toc507936041"/>
      <w:bookmarkStart w:id="68" w:name="_Toc506105849"/>
      <w:r>
        <w:rPr>
          <w:rStyle w:val="21"/>
          <w:rFonts w:hint="eastAsia"/>
          <w:b/>
          <w:bCs/>
        </w:rPr>
        <w:t>6.</w:t>
      </w:r>
      <w:bookmarkEnd w:id="67"/>
      <w:bookmarkEnd w:id="68"/>
      <w:r>
        <w:rPr>
          <w:rStyle w:val="21"/>
          <w:rFonts w:hint="eastAsia" w:ascii="宋体" w:hAnsi="宋体" w:eastAsia="宋体" w:cs="宋体"/>
          <w:b/>
          <w:bCs/>
          <w:lang w:val="en-US" w:eastAsia="zh-CN"/>
        </w:rPr>
        <w:t>响应文件的评审</w:t>
      </w:r>
    </w:p>
    <w:p w14:paraId="57DF096F">
      <w:pPr>
        <w:spacing w:line="360" w:lineRule="auto"/>
        <w:ind w:left="0" w:leftChars="0" w:firstLine="480" w:firstLineChars="200"/>
        <w:rPr>
          <w:rFonts w:hint="eastAsia"/>
          <w:sz w:val="24"/>
          <w:lang w:val="en-US" w:eastAsia="zh-CN"/>
        </w:rPr>
      </w:pPr>
      <w:bookmarkStart w:id="69" w:name="_Toc506105854"/>
      <w:bookmarkStart w:id="70" w:name="_Toc507936046"/>
      <w:r>
        <w:rPr>
          <w:rFonts w:hint="eastAsia"/>
          <w:sz w:val="24"/>
          <w:lang w:val="en-US" w:eastAsia="zh-CN"/>
        </w:rPr>
        <w:t>6.1 评审程序</w:t>
      </w:r>
    </w:p>
    <w:p w14:paraId="610A7FE2">
      <w:pPr>
        <w:spacing w:line="360" w:lineRule="auto"/>
        <w:ind w:left="0" w:leftChars="0" w:firstLine="480" w:firstLineChars="200"/>
        <w:rPr>
          <w:rFonts w:hint="eastAsia"/>
          <w:sz w:val="24"/>
        </w:rPr>
      </w:pPr>
      <w:r>
        <w:rPr>
          <w:rFonts w:hint="eastAsia" w:hAnsi="宋体"/>
          <w:sz w:val="24"/>
        </w:rPr>
        <w:t>6.1</w:t>
      </w:r>
      <w:r>
        <w:rPr>
          <w:rFonts w:hint="eastAsia"/>
          <w:sz w:val="24"/>
          <w:lang w:val="en-US" w:eastAsia="zh-CN"/>
        </w:rPr>
        <w:t>.1</w:t>
      </w:r>
      <w:r>
        <w:rPr>
          <w:rFonts w:hint="eastAsia"/>
          <w:sz w:val="24"/>
        </w:rPr>
        <w:t>谈判小组依据谈判文件的规定，对</w:t>
      </w:r>
      <w:r>
        <w:rPr>
          <w:rFonts w:hint="eastAsia"/>
          <w:sz w:val="24"/>
          <w:lang w:val="en-US" w:eastAsia="zh-CN"/>
        </w:rPr>
        <w:t>响应</w:t>
      </w:r>
      <w:r>
        <w:rPr>
          <w:rFonts w:hint="eastAsia"/>
          <w:sz w:val="24"/>
        </w:rPr>
        <w:t>文件的有效性、完整性和对谈判文件的响应程度进行审查，以确定是否对谈判文件的要求做出实质性响应。未对谈判文件做实质性响应的供应商，</w:t>
      </w:r>
      <w:r>
        <w:rPr>
          <w:rFonts w:hint="eastAsia"/>
          <w:sz w:val="24"/>
          <w:lang w:eastAsia="zh-CN"/>
        </w:rPr>
        <w:t>为无效报价，</w:t>
      </w:r>
      <w:r>
        <w:rPr>
          <w:rFonts w:hint="eastAsia"/>
          <w:sz w:val="24"/>
        </w:rPr>
        <w:t>不得进入具体谈判程序。</w:t>
      </w:r>
    </w:p>
    <w:p w14:paraId="2AE9DC6C">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对某一供应商的鉴定中，若有半数以上谈判小组成员认为某供应商有一项以上（包括一项）“不符合”，则该供应商不得进入下一步的评审。</w:t>
      </w:r>
    </w:p>
    <w:p w14:paraId="790BEFC8">
      <w:pPr>
        <w:spacing w:line="360" w:lineRule="auto"/>
        <w:ind w:left="0" w:leftChars="0" w:firstLine="480" w:firstLineChars="200"/>
        <w:rPr>
          <w:sz w:val="24"/>
        </w:rPr>
      </w:pPr>
      <w:r>
        <w:rPr>
          <w:rFonts w:hint="eastAsia"/>
          <w:sz w:val="24"/>
          <w:lang w:val="en-US" w:eastAsia="zh-CN"/>
        </w:rPr>
        <w:t>6.1.2</w:t>
      </w:r>
      <w:r>
        <w:rPr>
          <w:rFonts w:hAnsi="宋体"/>
          <w:sz w:val="24"/>
        </w:rPr>
        <w:t>评审内容的保密</w:t>
      </w:r>
    </w:p>
    <w:p w14:paraId="74FC6970">
      <w:pPr>
        <w:spacing w:line="360" w:lineRule="auto"/>
        <w:ind w:left="0" w:leftChars="0" w:firstLine="480" w:firstLineChars="200"/>
        <w:rPr>
          <w:sz w:val="24"/>
        </w:rPr>
      </w:pPr>
      <w:r>
        <w:rPr>
          <w:rFonts w:hint="eastAsia"/>
          <w:sz w:val="24"/>
        </w:rPr>
        <w:t>（1）</w:t>
      </w:r>
      <w:r>
        <w:rPr>
          <w:rFonts w:hAnsi="宋体"/>
          <w:sz w:val="24"/>
        </w:rPr>
        <w:t>谈判开始，直到宣布成交供应商为止，凡属于审查、报价和比较报价的所有资料，有关授予合同的信息，都不应向供应商或与评审无关的其他人泄露。</w:t>
      </w:r>
    </w:p>
    <w:p w14:paraId="7A15FDB3">
      <w:pPr>
        <w:spacing w:line="360" w:lineRule="auto"/>
        <w:ind w:left="0" w:leftChars="0" w:firstLine="480" w:firstLineChars="200"/>
        <w:rPr>
          <w:sz w:val="24"/>
        </w:rPr>
      </w:pPr>
      <w:r>
        <w:rPr>
          <w:rFonts w:hint="eastAsia"/>
          <w:sz w:val="24"/>
        </w:rPr>
        <w:t>（2）</w:t>
      </w:r>
      <w:r>
        <w:rPr>
          <w:rFonts w:hAnsi="宋体"/>
          <w:sz w:val="24"/>
        </w:rPr>
        <w:t>在响应文件的审查、澄清、评价和比较以及授予合同过程中，供应商对采购人和谈判小组成员施加影响的任何行为，都将导致取消其报价资格。</w:t>
      </w:r>
    </w:p>
    <w:p w14:paraId="2AEBC2AC">
      <w:pPr>
        <w:spacing w:line="360" w:lineRule="auto"/>
        <w:ind w:left="0" w:leftChars="0" w:firstLine="480" w:firstLineChars="200"/>
        <w:rPr>
          <w:rFonts w:hint="eastAsia"/>
          <w:sz w:val="24"/>
        </w:rPr>
      </w:pPr>
      <w:r>
        <w:rPr>
          <w:rFonts w:hint="eastAsia"/>
          <w:sz w:val="24"/>
        </w:rPr>
        <w:t>6.1.3</w:t>
      </w:r>
      <w:r>
        <w:rPr>
          <w:rFonts w:hint="eastAsia" w:hAnsi="宋体"/>
          <w:sz w:val="24"/>
        </w:rPr>
        <w:t xml:space="preserve"> </w:t>
      </w:r>
      <w:r>
        <w:rPr>
          <w:rFonts w:hAnsi="宋体"/>
          <w:sz w:val="24"/>
        </w:rPr>
        <w:t>报价</w:t>
      </w:r>
      <w:r>
        <w:rPr>
          <w:rFonts w:hint="eastAsia" w:hAnsi="宋体"/>
          <w:sz w:val="24"/>
        </w:rPr>
        <w:t>无效</w:t>
      </w:r>
    </w:p>
    <w:p w14:paraId="298FCC6B">
      <w:pPr>
        <w:spacing w:line="360" w:lineRule="auto"/>
        <w:ind w:left="0" w:leftChars="0" w:firstLine="480" w:firstLineChars="200"/>
        <w:rPr>
          <w:sz w:val="24"/>
        </w:rPr>
      </w:pPr>
      <w:r>
        <w:rPr>
          <w:rFonts w:hint="eastAsia"/>
          <w:sz w:val="24"/>
        </w:rPr>
        <w:t>6.1.3.</w:t>
      </w:r>
      <w:r>
        <w:rPr>
          <w:sz w:val="24"/>
        </w:rPr>
        <w:t>1</w:t>
      </w:r>
      <w:r>
        <w:rPr>
          <w:rFonts w:hAnsi="宋体"/>
          <w:sz w:val="24"/>
        </w:rPr>
        <w:t>供应商有下列情况之一者，其报价</w:t>
      </w:r>
      <w:r>
        <w:rPr>
          <w:rFonts w:hint="eastAsia" w:hAnsi="宋体"/>
          <w:sz w:val="24"/>
        </w:rPr>
        <w:t>无效</w:t>
      </w:r>
      <w:r>
        <w:rPr>
          <w:rFonts w:hAnsi="宋体"/>
          <w:sz w:val="24"/>
        </w:rPr>
        <w:t>，但报价保证金不被没收：</w:t>
      </w:r>
    </w:p>
    <w:p w14:paraId="3B720982">
      <w:pPr>
        <w:spacing w:line="360" w:lineRule="auto"/>
        <w:ind w:left="0" w:leftChars="0" w:firstLine="480" w:firstLineChars="200"/>
        <w:rPr>
          <w:sz w:val="24"/>
        </w:rPr>
      </w:pPr>
      <w:r>
        <w:rPr>
          <w:rFonts w:hAnsi="宋体"/>
          <w:sz w:val="24"/>
        </w:rPr>
        <w:t>（</w:t>
      </w:r>
      <w:r>
        <w:rPr>
          <w:sz w:val="24"/>
        </w:rPr>
        <w:t>1</w:t>
      </w:r>
      <w:r>
        <w:rPr>
          <w:rFonts w:hAnsi="宋体"/>
          <w:sz w:val="24"/>
        </w:rPr>
        <w:t>）谈判文件中要求必备的证件未能提供；</w:t>
      </w:r>
    </w:p>
    <w:p w14:paraId="029A163F">
      <w:pPr>
        <w:spacing w:line="360" w:lineRule="auto"/>
        <w:ind w:left="0" w:leftChars="0" w:firstLine="480" w:firstLineChars="200"/>
        <w:rPr>
          <w:sz w:val="24"/>
        </w:rPr>
      </w:pPr>
      <w:r>
        <w:rPr>
          <w:rFonts w:hAnsi="宋体"/>
          <w:sz w:val="24"/>
        </w:rPr>
        <w:t>（</w:t>
      </w:r>
      <w:r>
        <w:rPr>
          <w:sz w:val="24"/>
        </w:rPr>
        <w:t>2</w:t>
      </w:r>
      <w:r>
        <w:rPr>
          <w:rFonts w:hAnsi="宋体"/>
          <w:sz w:val="24"/>
        </w:rPr>
        <w:t>）不能达到谈判文件</w:t>
      </w:r>
      <w:r>
        <w:rPr>
          <w:rFonts w:hint="eastAsia" w:hAnsi="宋体"/>
          <w:sz w:val="24"/>
        </w:rPr>
        <w:t>供应商</w:t>
      </w:r>
      <w:r>
        <w:rPr>
          <w:rFonts w:hAnsi="宋体"/>
          <w:sz w:val="24"/>
        </w:rPr>
        <w:t>资质要求的；</w:t>
      </w:r>
    </w:p>
    <w:p w14:paraId="0A6A3F87">
      <w:pPr>
        <w:spacing w:line="360" w:lineRule="auto"/>
        <w:ind w:left="0" w:leftChars="0" w:firstLine="480" w:firstLineChars="200"/>
        <w:rPr>
          <w:rFonts w:hint="eastAsia" w:ascii="宋体" w:hAnsi="宋体" w:eastAsia="宋体" w:cs="宋体"/>
          <w:sz w:val="24"/>
        </w:rPr>
      </w:pPr>
      <w:r>
        <w:rPr>
          <w:rFonts w:hAnsi="宋体"/>
          <w:sz w:val="24"/>
        </w:rPr>
        <w:t>（</w:t>
      </w:r>
      <w:r>
        <w:rPr>
          <w:rFonts w:hint="eastAsia" w:hAnsi="宋体"/>
          <w:sz w:val="24"/>
        </w:rPr>
        <w:t>3</w:t>
      </w:r>
      <w:r>
        <w:rPr>
          <w:rFonts w:hAnsi="宋体"/>
          <w:sz w:val="24"/>
        </w:rPr>
        <w:t>）</w:t>
      </w:r>
      <w:r>
        <w:rPr>
          <w:rFonts w:hint="eastAsia" w:ascii="宋体" w:hAnsi="宋体" w:eastAsia="宋体" w:cs="宋体"/>
          <w:sz w:val="24"/>
        </w:rPr>
        <w:t>报价文件不完整；</w:t>
      </w:r>
    </w:p>
    <w:p w14:paraId="37C8E600">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未按规定报价或最终报价超过采购预算；</w:t>
      </w:r>
    </w:p>
    <w:p w14:paraId="16EFCCEE">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rPr>
        <w:t>未按谈判文件要求提交报价保证金；</w:t>
      </w:r>
    </w:p>
    <w:p w14:paraId="4A0FF4A7">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报价文件未按谈判文件要求密封、签署、装订、盖章；</w:t>
      </w:r>
    </w:p>
    <w:p w14:paraId="6C270682">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报价文件载明的交货时间超过谈判文件规定的时间且不能被采购人接受；</w:t>
      </w:r>
    </w:p>
    <w:p w14:paraId="46B7FF2B">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报价文件载明的服务检验标准和方法等不符合谈判文件的要求；</w:t>
      </w:r>
    </w:p>
    <w:p w14:paraId="7A53D77A">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报价文件中的服务配置、技术参数明显不符合谈判文件要求；</w:t>
      </w:r>
    </w:p>
    <w:p w14:paraId="263948F7">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响应文件</w:t>
      </w:r>
      <w:r>
        <w:rPr>
          <w:rFonts w:hint="eastAsia" w:ascii="宋体" w:hAnsi="宋体" w:eastAsia="宋体" w:cs="宋体"/>
          <w:sz w:val="24"/>
          <w:lang w:val="en-US" w:eastAsia="zh-CN"/>
        </w:rPr>
        <w:t>未实质性响应</w:t>
      </w:r>
      <w:r>
        <w:rPr>
          <w:rFonts w:hint="eastAsia" w:ascii="宋体" w:hAnsi="宋体" w:eastAsia="宋体" w:cs="宋体"/>
          <w:sz w:val="24"/>
        </w:rPr>
        <w:t>竞争性谈判文件规定的格式、内容；</w:t>
      </w:r>
    </w:p>
    <w:p w14:paraId="38F908C1">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（11）</w:t>
      </w:r>
      <w:r>
        <w:rPr>
          <w:rFonts w:hint="eastAsia" w:ascii="宋体" w:hAnsi="宋体" w:eastAsia="宋体" w:cs="宋体"/>
          <w:sz w:val="24"/>
        </w:rPr>
        <w:t>附有采购人不能接受的条件或不响应竞争性谈判文件规定的内容。</w:t>
      </w:r>
    </w:p>
    <w:p w14:paraId="29B6E073">
      <w:pPr>
        <w:spacing w:line="360" w:lineRule="auto"/>
        <w:ind w:left="0" w:leftChars="0" w:firstLine="480" w:firstLineChars="200"/>
        <w:rPr>
          <w:sz w:val="24"/>
        </w:rPr>
      </w:pPr>
      <w:r>
        <w:rPr>
          <w:rFonts w:hint="eastAsia" w:ascii="宋体" w:hAnsi="宋体" w:eastAsia="宋体" w:cs="宋体"/>
          <w:sz w:val="24"/>
          <w:lang w:val="en-US" w:eastAsia="zh-CN"/>
        </w:rPr>
        <w:t>（12）</w:t>
      </w:r>
      <w:r>
        <w:rPr>
          <w:rFonts w:hAnsi="宋体"/>
          <w:sz w:val="24"/>
        </w:rPr>
        <w:t>法律、法规规定的其他情况。</w:t>
      </w:r>
    </w:p>
    <w:p w14:paraId="62F2694E">
      <w:pPr>
        <w:spacing w:line="360" w:lineRule="auto"/>
        <w:ind w:left="0" w:leftChars="0" w:firstLine="480" w:firstLineChars="200"/>
        <w:rPr>
          <w:sz w:val="24"/>
        </w:rPr>
      </w:pPr>
      <w:r>
        <w:rPr>
          <w:rFonts w:hint="eastAsia"/>
          <w:sz w:val="24"/>
        </w:rPr>
        <w:t>6.1.3</w:t>
      </w:r>
      <w:r>
        <w:rPr>
          <w:sz w:val="24"/>
        </w:rPr>
        <w:t>.2</w:t>
      </w:r>
      <w:r>
        <w:rPr>
          <w:rFonts w:hAnsi="宋体"/>
          <w:sz w:val="24"/>
        </w:rPr>
        <w:t>供应商有下列情况之一者，其报价</w:t>
      </w:r>
      <w:r>
        <w:rPr>
          <w:rFonts w:hint="eastAsia" w:hAnsi="宋体"/>
          <w:sz w:val="24"/>
        </w:rPr>
        <w:t>无效</w:t>
      </w:r>
      <w:r>
        <w:rPr>
          <w:rFonts w:hAnsi="宋体"/>
          <w:sz w:val="24"/>
        </w:rPr>
        <w:t>，</w:t>
      </w:r>
      <w:r>
        <w:rPr>
          <w:rFonts w:hint="eastAsia"/>
          <w:sz w:val="24"/>
          <w:lang w:val="en-US" w:eastAsia="zh-CN"/>
        </w:rPr>
        <w:t>谈判</w:t>
      </w:r>
      <w:r>
        <w:rPr>
          <w:rFonts w:hAnsi="宋体"/>
          <w:sz w:val="24"/>
        </w:rPr>
        <w:t>保证金将被没收：</w:t>
      </w:r>
    </w:p>
    <w:p w14:paraId="13CB3E9B">
      <w:pPr>
        <w:spacing w:line="360" w:lineRule="auto"/>
        <w:ind w:left="0" w:leftChars="0" w:firstLine="480" w:firstLineChars="200"/>
        <w:rPr>
          <w:sz w:val="24"/>
        </w:rPr>
      </w:pPr>
      <w:r>
        <w:rPr>
          <w:rFonts w:hAnsi="宋体"/>
          <w:sz w:val="24"/>
        </w:rPr>
        <w:t>（</w:t>
      </w:r>
      <w:r>
        <w:rPr>
          <w:sz w:val="24"/>
        </w:rPr>
        <w:t>1</w:t>
      </w:r>
      <w:r>
        <w:rPr>
          <w:rFonts w:hAnsi="宋体"/>
          <w:sz w:val="24"/>
        </w:rPr>
        <w:t>）供应商向谈判小组、谈判工作有关的人员提供不正当利益；</w:t>
      </w:r>
    </w:p>
    <w:p w14:paraId="3B9C7505">
      <w:pPr>
        <w:spacing w:line="360" w:lineRule="auto"/>
        <w:ind w:left="0" w:leftChars="0" w:firstLine="480" w:firstLineChars="200"/>
        <w:rPr>
          <w:sz w:val="24"/>
        </w:rPr>
      </w:pPr>
      <w:r>
        <w:rPr>
          <w:rFonts w:hAnsi="宋体"/>
          <w:sz w:val="24"/>
        </w:rPr>
        <w:t>（</w:t>
      </w:r>
      <w:r>
        <w:rPr>
          <w:sz w:val="24"/>
        </w:rPr>
        <w:t>2</w:t>
      </w:r>
      <w:r>
        <w:rPr>
          <w:rFonts w:hAnsi="宋体"/>
          <w:sz w:val="24"/>
        </w:rPr>
        <w:t>）成交供应商不按谈判文件规定的要求签订合同；</w:t>
      </w:r>
    </w:p>
    <w:p w14:paraId="524E855B">
      <w:pPr>
        <w:spacing w:line="360" w:lineRule="auto"/>
        <w:ind w:left="0" w:leftChars="0" w:firstLine="480" w:firstLineChars="200"/>
        <w:rPr>
          <w:sz w:val="24"/>
        </w:rPr>
      </w:pPr>
      <w:r>
        <w:rPr>
          <w:rFonts w:hAnsi="宋体"/>
          <w:sz w:val="24"/>
        </w:rPr>
        <w:t>（</w:t>
      </w:r>
      <w:r>
        <w:rPr>
          <w:sz w:val="24"/>
        </w:rPr>
        <w:t>3</w:t>
      </w:r>
      <w:r>
        <w:rPr>
          <w:rFonts w:hAnsi="宋体"/>
          <w:sz w:val="24"/>
        </w:rPr>
        <w:t>）成交供应商未按规定交纳相关费用；</w:t>
      </w:r>
    </w:p>
    <w:p w14:paraId="016E4553">
      <w:pPr>
        <w:spacing w:line="360" w:lineRule="auto"/>
        <w:ind w:left="0" w:leftChars="0" w:firstLine="480" w:firstLineChars="200"/>
        <w:rPr>
          <w:sz w:val="24"/>
        </w:rPr>
      </w:pPr>
      <w:r>
        <w:rPr>
          <w:rFonts w:hAnsi="宋体"/>
          <w:sz w:val="24"/>
        </w:rPr>
        <w:t>（</w:t>
      </w:r>
      <w:r>
        <w:rPr>
          <w:sz w:val="24"/>
        </w:rPr>
        <w:t>4</w:t>
      </w:r>
      <w:r>
        <w:rPr>
          <w:rFonts w:hAnsi="宋体"/>
          <w:sz w:val="24"/>
        </w:rPr>
        <w:t>）法律、法规规定的其他情况。</w:t>
      </w:r>
    </w:p>
    <w:p w14:paraId="3E59C689">
      <w:pPr>
        <w:spacing w:line="360" w:lineRule="auto"/>
        <w:ind w:left="0" w:leftChars="0" w:firstLine="480" w:firstLineChars="200"/>
        <w:rPr>
          <w:sz w:val="24"/>
        </w:rPr>
      </w:pPr>
      <w:r>
        <w:rPr>
          <w:rFonts w:hint="eastAsia"/>
          <w:sz w:val="24"/>
        </w:rPr>
        <w:t>6.1.3.</w:t>
      </w:r>
      <w:r>
        <w:rPr>
          <w:sz w:val="24"/>
        </w:rPr>
        <w:t>3</w:t>
      </w:r>
      <w:r>
        <w:rPr>
          <w:rFonts w:hAnsi="宋体"/>
          <w:sz w:val="24"/>
        </w:rPr>
        <w:t>供应商有下列情况之一者，其报价</w:t>
      </w:r>
      <w:r>
        <w:rPr>
          <w:rFonts w:hint="eastAsia" w:hAnsi="宋体"/>
          <w:sz w:val="24"/>
        </w:rPr>
        <w:t>无效</w:t>
      </w:r>
      <w:r>
        <w:rPr>
          <w:rFonts w:hAnsi="宋体"/>
          <w:sz w:val="24"/>
        </w:rPr>
        <w:t>，将取消其报价资格并负法律责任：</w:t>
      </w:r>
    </w:p>
    <w:p w14:paraId="55128EBA">
      <w:pPr>
        <w:spacing w:line="360" w:lineRule="auto"/>
        <w:ind w:left="0" w:leftChars="0" w:firstLine="480" w:firstLineChars="200"/>
        <w:rPr>
          <w:sz w:val="24"/>
        </w:rPr>
      </w:pPr>
      <w:r>
        <w:rPr>
          <w:rFonts w:hAnsi="宋体"/>
          <w:sz w:val="24"/>
        </w:rPr>
        <w:t>（</w:t>
      </w:r>
      <w:r>
        <w:rPr>
          <w:sz w:val="24"/>
        </w:rPr>
        <w:t>1</w:t>
      </w:r>
      <w:r>
        <w:rPr>
          <w:rFonts w:hAnsi="宋体"/>
          <w:sz w:val="24"/>
        </w:rPr>
        <w:t>）供应商提供的有关资格、资质证明文件不真实，提供虚假报价材料；</w:t>
      </w:r>
    </w:p>
    <w:p w14:paraId="729BA8F1">
      <w:pPr>
        <w:spacing w:line="360" w:lineRule="auto"/>
        <w:ind w:left="0" w:leftChars="0" w:firstLine="480" w:firstLineChars="200"/>
        <w:rPr>
          <w:sz w:val="24"/>
        </w:rPr>
      </w:pPr>
      <w:r>
        <w:rPr>
          <w:rFonts w:hAnsi="宋体"/>
          <w:sz w:val="24"/>
        </w:rPr>
        <w:t>（</w:t>
      </w:r>
      <w:r>
        <w:rPr>
          <w:sz w:val="24"/>
        </w:rPr>
        <w:t>2</w:t>
      </w:r>
      <w:r>
        <w:rPr>
          <w:rFonts w:hAnsi="宋体"/>
          <w:sz w:val="24"/>
        </w:rPr>
        <w:t>）供应商在报价有效期内撤回报价；</w:t>
      </w:r>
    </w:p>
    <w:p w14:paraId="4FDF0B31">
      <w:pPr>
        <w:spacing w:line="360" w:lineRule="auto"/>
        <w:ind w:left="0" w:leftChars="0" w:firstLine="480" w:firstLineChars="200"/>
        <w:rPr>
          <w:sz w:val="24"/>
        </w:rPr>
      </w:pPr>
      <w:r>
        <w:rPr>
          <w:rFonts w:hAnsi="宋体"/>
          <w:sz w:val="24"/>
        </w:rPr>
        <w:t>（</w:t>
      </w:r>
      <w:r>
        <w:rPr>
          <w:sz w:val="24"/>
        </w:rPr>
        <w:t>3</w:t>
      </w:r>
      <w:r>
        <w:rPr>
          <w:rFonts w:hAnsi="宋体"/>
          <w:sz w:val="24"/>
        </w:rPr>
        <w:t>）在整个谈判过程中，供应商有企图影响谈判结果的任何不当活动；</w:t>
      </w:r>
    </w:p>
    <w:p w14:paraId="26994E44">
      <w:pPr>
        <w:spacing w:line="360" w:lineRule="auto"/>
        <w:ind w:left="0" w:leftChars="0" w:firstLine="480" w:firstLineChars="200"/>
        <w:rPr>
          <w:sz w:val="24"/>
        </w:rPr>
      </w:pPr>
      <w:r>
        <w:rPr>
          <w:rFonts w:hAnsi="宋体"/>
          <w:sz w:val="24"/>
        </w:rPr>
        <w:t>（</w:t>
      </w:r>
      <w:r>
        <w:rPr>
          <w:sz w:val="24"/>
        </w:rPr>
        <w:t>4</w:t>
      </w:r>
      <w:r>
        <w:rPr>
          <w:rFonts w:hAnsi="宋体"/>
          <w:sz w:val="24"/>
        </w:rPr>
        <w:t>）供应商串通报价或采用不正当竞争方式；</w:t>
      </w:r>
    </w:p>
    <w:p w14:paraId="2E553892">
      <w:pPr>
        <w:spacing w:line="360" w:lineRule="auto"/>
        <w:ind w:left="0" w:leftChars="0" w:firstLine="480" w:firstLineChars="200"/>
        <w:rPr>
          <w:sz w:val="24"/>
        </w:rPr>
      </w:pPr>
      <w:r>
        <w:rPr>
          <w:rFonts w:hAnsi="宋体"/>
          <w:sz w:val="24"/>
        </w:rPr>
        <w:t>（</w:t>
      </w:r>
      <w:r>
        <w:rPr>
          <w:sz w:val="24"/>
        </w:rPr>
        <w:t>5</w:t>
      </w:r>
      <w:r>
        <w:rPr>
          <w:rFonts w:hAnsi="宋体"/>
          <w:sz w:val="24"/>
        </w:rPr>
        <w:t>）供应商以任何方式诋毁其他供应商；</w:t>
      </w:r>
    </w:p>
    <w:p w14:paraId="259A77F7">
      <w:pPr>
        <w:spacing w:line="360" w:lineRule="auto"/>
        <w:ind w:left="0" w:leftChars="0" w:firstLine="480" w:firstLineChars="200"/>
        <w:rPr>
          <w:sz w:val="24"/>
        </w:rPr>
      </w:pPr>
      <w:r>
        <w:rPr>
          <w:rFonts w:hAnsi="宋体"/>
          <w:sz w:val="24"/>
        </w:rPr>
        <w:t>（</w:t>
      </w:r>
      <w:r>
        <w:rPr>
          <w:sz w:val="24"/>
        </w:rPr>
        <w:t>6</w:t>
      </w:r>
      <w:r>
        <w:rPr>
          <w:rFonts w:hAnsi="宋体"/>
          <w:sz w:val="24"/>
        </w:rPr>
        <w:t>）法律、法规规定的其他情况。</w:t>
      </w:r>
    </w:p>
    <w:p w14:paraId="6994C541">
      <w:pPr>
        <w:spacing w:line="360" w:lineRule="auto"/>
        <w:ind w:left="0" w:leftChars="0" w:firstLine="480" w:firstLineChars="200"/>
        <w:rPr>
          <w:rFonts w:hint="eastAsia" w:hAnsi="宋体"/>
          <w:sz w:val="24"/>
        </w:rPr>
      </w:pPr>
      <w:r>
        <w:rPr>
          <w:rFonts w:hAnsi="宋体"/>
          <w:sz w:val="24"/>
        </w:rPr>
        <w:t>供应商有上述行为之一的，采购人将严格依照有关法律、法规及规章的规定行使其权利。供应商给采购人造成损失的，采购人有索赔的权利，供应商应予以赔偿。</w:t>
      </w:r>
    </w:p>
    <w:p w14:paraId="2F71487D">
      <w:pPr>
        <w:spacing w:line="360" w:lineRule="auto"/>
        <w:ind w:left="0" w:leftChars="0" w:firstLine="480" w:firstLineChars="200"/>
        <w:rPr>
          <w:rFonts w:hAnsi="宋体"/>
          <w:sz w:val="24"/>
        </w:rPr>
      </w:pPr>
      <w:r>
        <w:rPr>
          <w:rFonts w:hint="eastAsia"/>
          <w:sz w:val="24"/>
        </w:rPr>
        <w:t>6</w:t>
      </w:r>
      <w:r>
        <w:rPr>
          <w:sz w:val="24"/>
        </w:rPr>
        <w:t>.</w:t>
      </w:r>
      <w:r>
        <w:rPr>
          <w:rFonts w:hint="eastAsia"/>
          <w:sz w:val="24"/>
        </w:rPr>
        <w:t>1.4</w:t>
      </w:r>
      <w:r>
        <w:rPr>
          <w:rFonts w:hAnsi="宋体"/>
          <w:sz w:val="24"/>
        </w:rPr>
        <w:t>响应文件计算错误的修正</w:t>
      </w:r>
    </w:p>
    <w:p w14:paraId="40B57555">
      <w:pPr>
        <w:spacing w:line="360" w:lineRule="auto"/>
        <w:ind w:left="0" w:leftChars="0" w:firstLine="480" w:firstLineChars="200"/>
        <w:rPr>
          <w:sz w:val="24"/>
        </w:rPr>
      </w:pPr>
      <w:r>
        <w:rPr>
          <w:rFonts w:hint="eastAsia"/>
          <w:sz w:val="24"/>
        </w:rPr>
        <w:t>6.1</w:t>
      </w:r>
      <w:r>
        <w:rPr>
          <w:sz w:val="24"/>
        </w:rPr>
        <w:t>.</w:t>
      </w:r>
      <w:r>
        <w:rPr>
          <w:rFonts w:hint="eastAsia"/>
          <w:sz w:val="24"/>
        </w:rPr>
        <w:t>4.1</w:t>
      </w:r>
      <w:r>
        <w:rPr>
          <w:rFonts w:hAnsi="宋体"/>
          <w:sz w:val="24"/>
        </w:rPr>
        <w:t>谈判小组将对确定为实质上响应竞争性谈判文件要求的响应文件进行校核，看其是否有计算或表达上的错误，修正错误的原则如下：</w:t>
      </w:r>
    </w:p>
    <w:p w14:paraId="63CE99EC">
      <w:pPr>
        <w:spacing w:line="360" w:lineRule="auto"/>
        <w:ind w:left="0" w:leftChars="0" w:firstLine="480" w:firstLineChars="200"/>
        <w:rPr>
          <w:sz w:val="24"/>
        </w:rPr>
      </w:pPr>
      <w:r>
        <w:rPr>
          <w:rFonts w:hAnsi="宋体"/>
          <w:sz w:val="24"/>
        </w:rPr>
        <w:t>（</w:t>
      </w:r>
      <w:r>
        <w:rPr>
          <w:sz w:val="24"/>
        </w:rPr>
        <w:t>1</w:t>
      </w:r>
      <w:r>
        <w:rPr>
          <w:rFonts w:hAnsi="宋体"/>
          <w:sz w:val="24"/>
        </w:rPr>
        <w:t>）如果数字表示的金额和用文字表示的金额不一致时，应以文字表示的金额为准；</w:t>
      </w:r>
    </w:p>
    <w:p w14:paraId="58119366">
      <w:pPr>
        <w:spacing w:line="360" w:lineRule="auto"/>
        <w:ind w:left="0" w:leftChars="0" w:firstLine="480" w:firstLineChars="200"/>
        <w:rPr>
          <w:sz w:val="24"/>
        </w:rPr>
      </w:pPr>
      <w:r>
        <w:rPr>
          <w:rFonts w:hAnsi="宋体"/>
          <w:sz w:val="24"/>
        </w:rPr>
        <w:t>（</w:t>
      </w:r>
      <w:r>
        <w:rPr>
          <w:sz w:val="24"/>
        </w:rPr>
        <w:t>2</w:t>
      </w:r>
      <w:r>
        <w:rPr>
          <w:rFonts w:hAnsi="宋体"/>
          <w:sz w:val="24"/>
        </w:rPr>
        <w:t>）当单价与数量的乘积与合价不一致时，以单价为准，除非谈判小组认为单价有明显的小数点错误，此时应以标出的合价为准，并修改单价。</w:t>
      </w:r>
    </w:p>
    <w:p w14:paraId="6095325A">
      <w:pPr>
        <w:spacing w:line="360" w:lineRule="auto"/>
        <w:ind w:left="0" w:leftChars="0" w:firstLine="480" w:firstLineChars="200"/>
        <w:rPr>
          <w:sz w:val="24"/>
        </w:rPr>
      </w:pPr>
      <w:r>
        <w:rPr>
          <w:rFonts w:hint="eastAsia"/>
          <w:sz w:val="24"/>
        </w:rPr>
        <w:t>6</w:t>
      </w:r>
      <w:r>
        <w:rPr>
          <w:sz w:val="24"/>
        </w:rPr>
        <w:t>.</w:t>
      </w:r>
      <w:r>
        <w:rPr>
          <w:rFonts w:hint="eastAsia"/>
          <w:sz w:val="24"/>
        </w:rPr>
        <w:t>1</w:t>
      </w:r>
      <w:r>
        <w:rPr>
          <w:sz w:val="24"/>
        </w:rPr>
        <w:t>.</w:t>
      </w:r>
      <w:r>
        <w:rPr>
          <w:rFonts w:hint="eastAsia"/>
          <w:sz w:val="24"/>
        </w:rPr>
        <w:t>4.2</w:t>
      </w:r>
      <w:r>
        <w:rPr>
          <w:rFonts w:hAnsi="宋体"/>
          <w:sz w:val="24"/>
        </w:rPr>
        <w:t>按上述修正错误的原则及方法调整或修正响应文件的报价，供应商同意后，调整后的报价对供应商起约束作用。如果供应商不接受修正后的报价，则其报价将被拒绝并且其报价保证金也将被没收，并不影响评审工作。</w:t>
      </w:r>
    </w:p>
    <w:p w14:paraId="26D5D63A">
      <w:pPr>
        <w:spacing w:line="360" w:lineRule="auto"/>
        <w:ind w:left="0" w:leftChars="0" w:firstLine="480" w:firstLineChars="200"/>
        <w:rPr>
          <w:sz w:val="24"/>
        </w:rPr>
      </w:pPr>
      <w:r>
        <w:rPr>
          <w:rFonts w:hint="eastAsia"/>
          <w:sz w:val="24"/>
        </w:rPr>
        <w:t>6.1.5</w:t>
      </w:r>
      <w:r>
        <w:rPr>
          <w:rFonts w:hAnsi="宋体"/>
          <w:sz w:val="24"/>
        </w:rPr>
        <w:t>谈判</w:t>
      </w:r>
    </w:p>
    <w:p w14:paraId="4E3BC16B">
      <w:pPr>
        <w:spacing w:line="360" w:lineRule="auto"/>
        <w:ind w:left="0" w:leftChars="0" w:firstLine="480" w:firstLineChars="200"/>
        <w:rPr>
          <w:sz w:val="24"/>
        </w:rPr>
      </w:pPr>
      <w:r>
        <w:rPr>
          <w:rFonts w:hAnsi="宋体"/>
          <w:sz w:val="24"/>
        </w:rPr>
        <w:t>在详细审阅各供应商的响应文件之后，谈判小组可根据各供应商响应文件编制情况组织谈判。供应商在接到采购代理机构的谈判通知后，应组织相关人员出席谈判。谈判时，由谈判小组提出问题，供应商应首先作出口头解答，然后形成书面文字，经授权代表签字后，在规定的时间内提交给谈判小组。</w:t>
      </w:r>
    </w:p>
    <w:p w14:paraId="78ED43C0">
      <w:pPr>
        <w:spacing w:line="360" w:lineRule="auto"/>
        <w:ind w:left="0" w:leftChars="0" w:firstLine="480" w:firstLineChars="200"/>
        <w:rPr>
          <w:sz w:val="24"/>
        </w:rPr>
      </w:pPr>
      <w:r>
        <w:rPr>
          <w:rFonts w:hint="eastAsia"/>
          <w:sz w:val="24"/>
        </w:rPr>
        <w:t>6.1.6</w:t>
      </w:r>
      <w:r>
        <w:rPr>
          <w:rFonts w:hAnsi="宋体"/>
          <w:sz w:val="24"/>
        </w:rPr>
        <w:t>最终报价</w:t>
      </w:r>
    </w:p>
    <w:p w14:paraId="56EB3328">
      <w:pPr>
        <w:spacing w:line="360" w:lineRule="auto"/>
        <w:ind w:left="0" w:leftChars="0" w:firstLine="480" w:firstLineChars="200"/>
        <w:rPr>
          <w:rFonts w:hint="eastAsia" w:ascii="宋体" w:hAnsi="宋体"/>
          <w:sz w:val="24"/>
        </w:rPr>
      </w:pPr>
      <w:r>
        <w:rPr>
          <w:rFonts w:hint="eastAsia" w:hAnsi="宋体"/>
          <w:sz w:val="24"/>
        </w:rPr>
        <w:t>谈判小组所有成员集中与单一供应商分别进行谈判</w:t>
      </w:r>
      <w:r>
        <w:rPr>
          <w:rFonts w:hAnsi="宋体"/>
          <w:sz w:val="24"/>
        </w:rPr>
        <w:t>，各供应商最终报价函必须经授权代表签字且按指定时间同时送达谈判小组，否则仍按原报价进行评审。</w:t>
      </w:r>
      <w:r>
        <w:rPr>
          <w:rFonts w:hint="eastAsia" w:hAnsi="宋体"/>
          <w:b/>
          <w:sz w:val="24"/>
        </w:rPr>
        <w:t>多次报价中的优惠均有效，</w:t>
      </w:r>
      <w:r>
        <w:rPr>
          <w:rFonts w:hint="eastAsia" w:ascii="宋体" w:hAnsi="宋体" w:eastAsia="宋体" w:cs="Times New Roman"/>
          <w:sz w:val="24"/>
          <w:highlight w:val="yellow"/>
          <w:lang w:val="en-US" w:eastAsia="zh-CN"/>
        </w:rPr>
        <w:t>评审人员根据评分表内容对各个</w:t>
      </w:r>
      <w:r>
        <w:rPr>
          <w:rFonts w:hint="eastAsia" w:ascii="宋体" w:hAnsi="宋体" w:eastAsia="宋体" w:cs="Times New Roman"/>
          <w:sz w:val="24"/>
          <w:highlight w:val="yellow"/>
        </w:rPr>
        <w:t>供应商</w:t>
      </w:r>
      <w:r>
        <w:rPr>
          <w:rFonts w:hint="eastAsia" w:ascii="宋体" w:hAnsi="宋体" w:eastAsia="宋体" w:cs="Times New Roman"/>
          <w:sz w:val="24"/>
          <w:highlight w:val="yellow"/>
          <w:lang w:val="en-US" w:eastAsia="zh-CN"/>
        </w:rPr>
        <w:t>进行打分，按照综合得分</w:t>
      </w:r>
      <w:r>
        <w:rPr>
          <w:rFonts w:hint="eastAsia" w:ascii="宋体" w:hAnsi="宋体"/>
          <w:sz w:val="24"/>
          <w:highlight w:val="yellow"/>
        </w:rPr>
        <w:t>由</w:t>
      </w:r>
      <w:r>
        <w:rPr>
          <w:rFonts w:hint="eastAsia" w:ascii="宋体" w:hAnsi="宋体"/>
          <w:sz w:val="24"/>
          <w:highlight w:val="yellow"/>
          <w:lang w:val="en-US" w:eastAsia="zh-CN"/>
        </w:rPr>
        <w:t>高</w:t>
      </w:r>
      <w:r>
        <w:rPr>
          <w:rFonts w:hint="eastAsia" w:ascii="宋体" w:hAnsi="宋体"/>
          <w:sz w:val="24"/>
          <w:highlight w:val="yellow"/>
        </w:rPr>
        <w:t>到</w:t>
      </w:r>
      <w:r>
        <w:rPr>
          <w:rFonts w:hint="eastAsia" w:ascii="宋体" w:hAnsi="宋体"/>
          <w:sz w:val="24"/>
          <w:highlight w:val="yellow"/>
          <w:lang w:val="en-US" w:eastAsia="zh-CN"/>
        </w:rPr>
        <w:t>低</w:t>
      </w:r>
      <w:r>
        <w:rPr>
          <w:rFonts w:hint="eastAsia" w:ascii="宋体" w:hAnsi="宋体"/>
          <w:sz w:val="24"/>
          <w:highlight w:val="yellow"/>
        </w:rPr>
        <w:t>的顺序推荐</w:t>
      </w:r>
      <w:r>
        <w:rPr>
          <w:rFonts w:hint="eastAsia"/>
          <w:sz w:val="24"/>
          <w:highlight w:val="yellow"/>
          <w:lang w:val="en-US" w:eastAsia="zh-CN"/>
        </w:rPr>
        <w:t>2</w:t>
      </w:r>
      <w:r>
        <w:rPr>
          <w:rFonts w:hint="eastAsia" w:ascii="宋体" w:hAnsi="宋体"/>
          <w:sz w:val="24"/>
          <w:highlight w:val="yellow"/>
        </w:rPr>
        <w:t>名成交候选人。</w:t>
      </w:r>
    </w:p>
    <w:p w14:paraId="4D1A6EB4">
      <w:pPr>
        <w:spacing w:line="360" w:lineRule="auto"/>
        <w:ind w:left="0" w:leftChars="0" w:firstLine="480" w:firstLineChars="200"/>
        <w:rPr>
          <w:rFonts w:hint="eastAsia" w:ascii="宋体" w:hAnsi="宋体"/>
          <w:sz w:val="24"/>
        </w:rPr>
      </w:pPr>
      <w:r>
        <w:rPr>
          <w:rFonts w:hint="eastAsia" w:ascii="宋体" w:hAnsi="宋体"/>
          <w:sz w:val="24"/>
          <w:highlight w:val="yellow"/>
        </w:rPr>
        <w:t>采购人从评审报告提出的成交候选人中，根据质量和服务均能满足谈判文件实质性响应要求且</w:t>
      </w:r>
      <w:r>
        <w:rPr>
          <w:rFonts w:hint="eastAsia" w:ascii="宋体" w:hAnsi="宋体"/>
          <w:sz w:val="24"/>
          <w:highlight w:val="yellow"/>
          <w:lang w:val="en-US" w:eastAsia="zh-CN"/>
        </w:rPr>
        <w:t>综合得分最高</w:t>
      </w:r>
      <w:r>
        <w:rPr>
          <w:rFonts w:hint="eastAsia" w:ascii="宋体" w:hAnsi="宋体"/>
          <w:sz w:val="24"/>
          <w:highlight w:val="yellow"/>
        </w:rPr>
        <w:t>的原则确定成交供应商。</w:t>
      </w:r>
    </w:p>
    <w:p w14:paraId="363362A9">
      <w:pPr>
        <w:spacing w:line="360" w:lineRule="auto"/>
        <w:ind w:left="0" w:leftChars="0" w:firstLine="480" w:firstLineChars="200"/>
        <w:rPr>
          <w:rFonts w:hint="eastAsia" w:ascii="宋体" w:hAnsi="宋体"/>
          <w:sz w:val="24"/>
        </w:rPr>
      </w:pPr>
      <w:r>
        <w:rPr>
          <w:rFonts w:hint="eastAsia" w:ascii="宋体" w:hAnsi="宋体"/>
          <w:sz w:val="24"/>
        </w:rPr>
        <w:t>当确定的成交供应商放弃成交或者因不可抗力提出不能履行合同时，采购人有权将合同授予报价排名第二的成交(候选)供应商，或重新采购。</w:t>
      </w:r>
    </w:p>
    <w:p w14:paraId="6F547E68">
      <w:pPr>
        <w:spacing w:line="360" w:lineRule="auto"/>
        <w:ind w:left="0" w:leftChars="0" w:firstLine="480" w:firstLineChars="200"/>
        <w:rPr>
          <w:rFonts w:hint="eastAsia"/>
          <w:sz w:val="24"/>
        </w:rPr>
      </w:pPr>
      <w:r>
        <w:rPr>
          <w:rFonts w:hint="eastAsia"/>
          <w:sz w:val="24"/>
        </w:rPr>
        <w:t>6.2、谈判小组经评审，认为所有报价都不符合竞争性谈判文件的要求的，可以否决所有报价，采购人将依法重新组织采购。</w:t>
      </w:r>
    </w:p>
    <w:p w14:paraId="61D7FA97">
      <w:pPr>
        <w:pStyle w:val="15"/>
        <w:rPr>
          <w:rStyle w:val="21"/>
          <w:b/>
          <w:bCs/>
        </w:rPr>
      </w:pPr>
      <w:r>
        <w:rPr>
          <w:rStyle w:val="21"/>
          <w:rFonts w:hint="eastAsia"/>
          <w:b/>
          <w:bCs/>
        </w:rPr>
        <w:t>7.合同授予</w:t>
      </w:r>
      <w:bookmarkEnd w:id="69"/>
      <w:bookmarkEnd w:id="70"/>
    </w:p>
    <w:p w14:paraId="62BF9180">
      <w:pPr>
        <w:pStyle w:val="22"/>
      </w:pPr>
      <w:bookmarkStart w:id="71" w:name="_Toc506105855"/>
      <w:bookmarkStart w:id="72" w:name="_Toc507936047"/>
      <w:r>
        <w:rPr>
          <w:rFonts w:hint="eastAsia"/>
        </w:rPr>
        <w:t>7.1</w:t>
      </w:r>
      <w:r>
        <w:rPr>
          <w:rFonts w:hint="eastAsia"/>
          <w:lang w:val="en-US" w:eastAsia="zh-CN"/>
        </w:rPr>
        <w:t>成交</w:t>
      </w:r>
      <w:r>
        <w:rPr>
          <w:rFonts w:hint="eastAsia"/>
        </w:rPr>
        <w:t>方式</w:t>
      </w:r>
      <w:bookmarkEnd w:id="71"/>
      <w:bookmarkEnd w:id="72"/>
    </w:p>
    <w:p w14:paraId="588884AF">
      <w:pPr>
        <w:spacing w:line="360" w:lineRule="auto"/>
        <w:ind w:firstLine="480"/>
        <w:jc w:val="left"/>
        <w:rPr>
          <w:rFonts w:ascii="宋体" w:hAnsi="宋体" w:cs="仿宋"/>
          <w:sz w:val="24"/>
        </w:rPr>
      </w:pPr>
      <w:r>
        <w:rPr>
          <w:rFonts w:hint="eastAsia" w:cs="仿宋"/>
          <w:sz w:val="24"/>
          <w:lang w:val="en-US" w:eastAsia="zh-CN"/>
        </w:rPr>
        <w:t>采购</w:t>
      </w:r>
      <w:r>
        <w:rPr>
          <w:rFonts w:hint="eastAsia" w:ascii="宋体" w:hAnsi="宋体" w:cs="仿宋"/>
          <w:sz w:val="24"/>
        </w:rPr>
        <w:t>人根据评</w:t>
      </w:r>
      <w:r>
        <w:rPr>
          <w:rFonts w:hint="eastAsia" w:cs="仿宋"/>
          <w:sz w:val="24"/>
          <w:lang w:val="en-US" w:eastAsia="zh-CN"/>
        </w:rPr>
        <w:t>审</w:t>
      </w:r>
      <w:r>
        <w:rPr>
          <w:rFonts w:hint="eastAsia" w:ascii="宋体" w:hAnsi="宋体" w:cs="仿宋"/>
          <w:sz w:val="24"/>
        </w:rPr>
        <w:t>报告中推荐的</w:t>
      </w:r>
      <w:r>
        <w:rPr>
          <w:rFonts w:hint="eastAsia" w:cs="仿宋"/>
          <w:sz w:val="24"/>
          <w:lang w:val="en-US" w:eastAsia="zh-CN"/>
        </w:rPr>
        <w:t>成交</w:t>
      </w:r>
      <w:r>
        <w:rPr>
          <w:rFonts w:hint="eastAsia" w:ascii="宋体" w:hAnsi="宋体" w:cs="仿宋"/>
          <w:sz w:val="24"/>
        </w:rPr>
        <w:t>人候选人择优选定</w:t>
      </w:r>
      <w:r>
        <w:rPr>
          <w:rFonts w:hint="eastAsia" w:cs="仿宋"/>
          <w:sz w:val="24"/>
          <w:lang w:val="en-US" w:eastAsia="zh-CN"/>
        </w:rPr>
        <w:t>成交</w:t>
      </w:r>
      <w:r>
        <w:rPr>
          <w:rFonts w:hint="eastAsia" w:ascii="宋体" w:hAnsi="宋体" w:cs="仿宋"/>
          <w:sz w:val="24"/>
        </w:rPr>
        <w:t>人。</w:t>
      </w:r>
    </w:p>
    <w:p w14:paraId="0EF8E1D4">
      <w:pPr>
        <w:pStyle w:val="22"/>
      </w:pPr>
      <w:bookmarkStart w:id="73" w:name="_Toc507936048"/>
      <w:bookmarkStart w:id="74" w:name="_Toc506105856"/>
      <w:r>
        <w:rPr>
          <w:rFonts w:hint="eastAsia"/>
        </w:rPr>
        <w:t>7.2</w:t>
      </w:r>
      <w:r>
        <w:rPr>
          <w:rFonts w:hint="eastAsia"/>
          <w:lang w:val="en-US" w:eastAsia="zh-CN"/>
        </w:rPr>
        <w:t>成交</w:t>
      </w:r>
      <w:r>
        <w:rPr>
          <w:rFonts w:hint="eastAsia"/>
        </w:rPr>
        <w:t>通知</w:t>
      </w:r>
      <w:bookmarkEnd w:id="73"/>
      <w:bookmarkEnd w:id="74"/>
    </w:p>
    <w:p w14:paraId="72EAC2F9">
      <w:pPr>
        <w:spacing w:line="360" w:lineRule="auto"/>
        <w:ind w:firstLine="480" w:firstLineChars="200"/>
        <w:rPr>
          <w:rFonts w:ascii="宋体" w:hAnsi="宋体" w:cs="仿宋"/>
          <w:sz w:val="24"/>
        </w:rPr>
      </w:pPr>
      <w:bookmarkStart w:id="75" w:name="_Toc507936049"/>
      <w:bookmarkStart w:id="76" w:name="_Toc506105857"/>
      <w:r>
        <w:rPr>
          <w:rFonts w:hint="eastAsia" w:cs="仿宋"/>
          <w:sz w:val="24"/>
          <w:lang w:val="en-US" w:eastAsia="zh-CN"/>
        </w:rPr>
        <w:t>成交</w:t>
      </w:r>
      <w:r>
        <w:rPr>
          <w:rFonts w:hint="eastAsia" w:ascii="宋体" w:hAnsi="宋体" w:cs="仿宋"/>
          <w:sz w:val="24"/>
        </w:rPr>
        <w:t>结果通过</w:t>
      </w:r>
      <w:r>
        <w:rPr>
          <w:rFonts w:hint="eastAsia" w:eastAsia="宋体" w:cs="宋体"/>
          <w:sz w:val="24"/>
          <w:lang w:val="en-US" w:eastAsia="zh-CN"/>
        </w:rPr>
        <w:t>济钢集团有限公司阳光购销平台</w:t>
      </w:r>
      <w:r>
        <w:rPr>
          <w:rFonts w:hint="eastAsia" w:ascii="宋体" w:hAnsi="宋体" w:cs="仿宋"/>
          <w:sz w:val="24"/>
        </w:rPr>
        <w:t>公示。公示期结束后，</w:t>
      </w:r>
      <w:r>
        <w:rPr>
          <w:rFonts w:hint="eastAsia" w:cs="仿宋"/>
          <w:sz w:val="24"/>
          <w:lang w:val="en-US" w:eastAsia="zh-CN"/>
        </w:rPr>
        <w:t>采购</w:t>
      </w:r>
      <w:r>
        <w:rPr>
          <w:rFonts w:hint="eastAsia" w:ascii="宋体" w:hAnsi="宋体" w:cs="仿宋"/>
          <w:sz w:val="24"/>
        </w:rPr>
        <w:t>人以书面形式向</w:t>
      </w:r>
      <w:r>
        <w:rPr>
          <w:rFonts w:hint="eastAsia" w:cs="仿宋"/>
          <w:sz w:val="24"/>
          <w:lang w:val="en-US" w:eastAsia="zh-CN"/>
        </w:rPr>
        <w:t>成交</w:t>
      </w:r>
      <w:r>
        <w:rPr>
          <w:rFonts w:hint="eastAsia" w:ascii="宋体" w:hAnsi="宋体" w:cs="仿宋"/>
          <w:sz w:val="24"/>
        </w:rPr>
        <w:t>人发出</w:t>
      </w:r>
      <w:r>
        <w:rPr>
          <w:rFonts w:hint="eastAsia" w:cs="仿宋"/>
          <w:sz w:val="24"/>
          <w:lang w:val="en-US" w:eastAsia="zh-CN"/>
        </w:rPr>
        <w:t>成交</w:t>
      </w:r>
      <w:r>
        <w:rPr>
          <w:rFonts w:hint="eastAsia" w:ascii="宋体" w:hAnsi="宋体" w:cs="仿宋"/>
          <w:sz w:val="24"/>
        </w:rPr>
        <w:t>通知书</w:t>
      </w:r>
    </w:p>
    <w:p w14:paraId="5D02DDDB">
      <w:pPr>
        <w:pStyle w:val="22"/>
      </w:pPr>
      <w:r>
        <w:rPr>
          <w:rFonts w:hint="eastAsia"/>
        </w:rPr>
        <w:t>7.3履约担保</w:t>
      </w:r>
      <w:bookmarkEnd w:id="75"/>
      <w:bookmarkEnd w:id="76"/>
    </w:p>
    <w:p w14:paraId="3EADA07B">
      <w:pPr>
        <w:spacing w:line="360" w:lineRule="auto"/>
        <w:ind w:firstLine="480" w:firstLineChars="200"/>
        <w:rPr>
          <w:rFonts w:ascii="宋体" w:hAnsi="宋体" w:cs="仿宋"/>
          <w:sz w:val="24"/>
        </w:rPr>
      </w:pPr>
      <w:r>
        <w:rPr>
          <w:rFonts w:hint="eastAsia" w:ascii="宋体" w:hAnsi="宋体" w:cs="仿宋"/>
          <w:sz w:val="24"/>
        </w:rPr>
        <w:t>7.</w:t>
      </w:r>
      <w:r>
        <w:rPr>
          <w:rFonts w:hint="eastAsia" w:cs="仿宋"/>
          <w:sz w:val="24"/>
          <w:lang w:val="en-US" w:eastAsia="zh-CN"/>
        </w:rPr>
        <w:t>3</w:t>
      </w:r>
      <w:r>
        <w:rPr>
          <w:rFonts w:hint="eastAsia" w:ascii="宋体" w:hAnsi="宋体" w:cs="仿宋"/>
          <w:sz w:val="24"/>
        </w:rPr>
        <w:t>.1 签订合同前，</w:t>
      </w:r>
      <w:r>
        <w:rPr>
          <w:rFonts w:hint="eastAsia" w:cs="仿宋"/>
          <w:sz w:val="24"/>
          <w:lang w:val="en-US" w:eastAsia="zh-CN"/>
        </w:rPr>
        <w:t>成交</w:t>
      </w:r>
      <w:r>
        <w:rPr>
          <w:rFonts w:hint="eastAsia" w:ascii="宋体" w:hAnsi="宋体" w:cs="仿宋"/>
          <w:sz w:val="24"/>
        </w:rPr>
        <w:t>人应按</w:t>
      </w:r>
      <w:r>
        <w:rPr>
          <w:rFonts w:hint="eastAsia" w:cs="仿宋"/>
          <w:sz w:val="24"/>
          <w:lang w:val="en-US" w:eastAsia="zh-CN"/>
        </w:rPr>
        <w:t>谈判</w:t>
      </w:r>
      <w:r>
        <w:rPr>
          <w:rFonts w:hint="eastAsia" w:ascii="宋体" w:hAnsi="宋体" w:cs="仿宋"/>
          <w:sz w:val="24"/>
        </w:rPr>
        <w:t>须知前附表规定向</w:t>
      </w:r>
      <w:r>
        <w:rPr>
          <w:rFonts w:hint="eastAsia" w:cs="仿宋"/>
          <w:sz w:val="24"/>
          <w:lang w:val="en-US" w:eastAsia="zh-CN"/>
        </w:rPr>
        <w:t>采购</w:t>
      </w:r>
      <w:r>
        <w:rPr>
          <w:rFonts w:hint="eastAsia" w:ascii="宋体" w:hAnsi="宋体" w:cs="仿宋"/>
          <w:sz w:val="24"/>
        </w:rPr>
        <w:t>人提交履约担保。</w:t>
      </w:r>
    </w:p>
    <w:p w14:paraId="0DBA5CCA">
      <w:pPr>
        <w:spacing w:line="360" w:lineRule="auto"/>
        <w:ind w:firstLine="480" w:firstLineChars="200"/>
        <w:rPr>
          <w:rFonts w:hint="eastAsia" w:ascii="宋体" w:hAnsi="宋体" w:cs="仿宋"/>
          <w:bCs/>
          <w:sz w:val="24"/>
        </w:rPr>
      </w:pPr>
      <w:r>
        <w:rPr>
          <w:rFonts w:hint="eastAsia" w:ascii="宋体" w:hAnsi="宋体" w:cs="仿宋"/>
          <w:bCs/>
          <w:sz w:val="24"/>
        </w:rPr>
        <w:t>7.</w:t>
      </w:r>
      <w:r>
        <w:rPr>
          <w:rFonts w:hint="eastAsia" w:cs="仿宋"/>
          <w:bCs/>
          <w:sz w:val="24"/>
          <w:lang w:val="en-US" w:eastAsia="zh-CN"/>
        </w:rPr>
        <w:t>3</w:t>
      </w:r>
      <w:r>
        <w:rPr>
          <w:rFonts w:hint="eastAsia" w:ascii="宋体" w:hAnsi="宋体" w:cs="仿宋"/>
          <w:bCs/>
          <w:sz w:val="24"/>
        </w:rPr>
        <w:t xml:space="preserve">.2 </w:t>
      </w:r>
      <w:r>
        <w:rPr>
          <w:rFonts w:hint="eastAsia" w:cs="仿宋"/>
          <w:sz w:val="24"/>
          <w:lang w:val="en-US" w:eastAsia="zh-CN"/>
        </w:rPr>
        <w:t>成交</w:t>
      </w:r>
      <w:r>
        <w:rPr>
          <w:rFonts w:hint="eastAsia" w:ascii="宋体" w:hAnsi="宋体" w:cs="仿宋"/>
          <w:bCs/>
          <w:sz w:val="24"/>
        </w:rPr>
        <w:t>人不能按</w:t>
      </w:r>
      <w:r>
        <w:rPr>
          <w:rFonts w:hint="eastAsia" w:cs="仿宋"/>
          <w:sz w:val="24"/>
          <w:lang w:val="en-US" w:eastAsia="zh-CN"/>
        </w:rPr>
        <w:t>谈判邀请书</w:t>
      </w:r>
      <w:r>
        <w:rPr>
          <w:rFonts w:hint="eastAsia" w:ascii="宋体" w:hAnsi="宋体" w:cs="仿宋"/>
          <w:sz w:val="24"/>
        </w:rPr>
        <w:t>规定</w:t>
      </w:r>
      <w:r>
        <w:rPr>
          <w:rFonts w:hint="eastAsia" w:ascii="宋体" w:hAnsi="宋体" w:cs="仿宋"/>
          <w:bCs/>
          <w:sz w:val="24"/>
        </w:rPr>
        <w:t>要求提交履约担保的，视为放弃</w:t>
      </w:r>
      <w:r>
        <w:rPr>
          <w:rFonts w:hint="eastAsia" w:cs="仿宋"/>
          <w:sz w:val="24"/>
          <w:lang w:val="en-US" w:eastAsia="zh-CN"/>
        </w:rPr>
        <w:t>成交</w:t>
      </w:r>
      <w:r>
        <w:rPr>
          <w:rFonts w:hint="eastAsia" w:ascii="宋体" w:hAnsi="宋体" w:cs="仿宋"/>
          <w:bCs/>
          <w:sz w:val="24"/>
        </w:rPr>
        <w:t>，其</w:t>
      </w:r>
      <w:r>
        <w:rPr>
          <w:rFonts w:hint="eastAsia" w:cs="仿宋"/>
          <w:bCs/>
          <w:sz w:val="24"/>
          <w:lang w:val="en-US" w:eastAsia="zh-CN"/>
        </w:rPr>
        <w:t>谈判</w:t>
      </w:r>
      <w:r>
        <w:rPr>
          <w:rFonts w:hint="eastAsia" w:ascii="宋体" w:hAnsi="宋体" w:cs="仿宋"/>
          <w:bCs/>
          <w:sz w:val="24"/>
        </w:rPr>
        <w:t>保证金不予退还，给</w:t>
      </w:r>
      <w:r>
        <w:rPr>
          <w:rFonts w:hint="eastAsia" w:cs="仿宋"/>
          <w:bCs/>
          <w:sz w:val="24"/>
          <w:lang w:val="en-US" w:eastAsia="zh-CN"/>
        </w:rPr>
        <w:t>采购</w:t>
      </w:r>
      <w:r>
        <w:rPr>
          <w:rFonts w:hint="eastAsia" w:ascii="宋体" w:hAnsi="宋体" w:cs="仿宋"/>
          <w:bCs/>
          <w:sz w:val="24"/>
        </w:rPr>
        <w:t>人造成的损失超过</w:t>
      </w:r>
      <w:r>
        <w:rPr>
          <w:rFonts w:hint="eastAsia" w:cs="仿宋"/>
          <w:bCs/>
          <w:sz w:val="24"/>
          <w:lang w:val="en-US" w:eastAsia="zh-CN"/>
        </w:rPr>
        <w:t>谈判</w:t>
      </w:r>
      <w:r>
        <w:rPr>
          <w:rFonts w:hint="eastAsia" w:ascii="宋体" w:hAnsi="宋体" w:cs="仿宋"/>
          <w:bCs/>
          <w:sz w:val="24"/>
        </w:rPr>
        <w:t>保证金数额的，</w:t>
      </w:r>
      <w:r>
        <w:rPr>
          <w:rFonts w:hint="eastAsia" w:cs="仿宋"/>
          <w:sz w:val="24"/>
          <w:lang w:val="en-US" w:eastAsia="zh-CN"/>
        </w:rPr>
        <w:t>成交</w:t>
      </w:r>
      <w:r>
        <w:rPr>
          <w:rFonts w:hint="eastAsia" w:ascii="宋体" w:hAnsi="宋体" w:cs="仿宋"/>
          <w:bCs/>
          <w:sz w:val="24"/>
        </w:rPr>
        <w:t>人还应当对超过部分予以赔偿。</w:t>
      </w:r>
    </w:p>
    <w:p w14:paraId="0F0F9D1A">
      <w:pPr>
        <w:pStyle w:val="22"/>
        <w:rPr>
          <w:rFonts w:hint="eastAsia"/>
        </w:rPr>
      </w:pPr>
      <w:r>
        <w:rPr>
          <w:rFonts w:hint="eastAsia"/>
          <w:lang w:val="en-US" w:eastAsia="zh-CN"/>
        </w:rPr>
        <w:t>7.4</w:t>
      </w:r>
      <w:r>
        <w:rPr>
          <w:rFonts w:hint="eastAsia"/>
        </w:rPr>
        <w:t>签订合同</w:t>
      </w:r>
    </w:p>
    <w:p w14:paraId="665BCAAD">
      <w:pPr>
        <w:spacing w:line="360" w:lineRule="auto"/>
        <w:ind w:firstLine="420" w:firstLineChars="200"/>
        <w:rPr>
          <w:rFonts w:hint="eastAsia" w:cs="仿宋"/>
        </w:rPr>
      </w:pPr>
      <w:r>
        <w:rPr>
          <w:rFonts w:cs="仿宋"/>
        </w:rPr>
        <w:t xml:space="preserve"> </w:t>
      </w:r>
      <w:r>
        <w:rPr>
          <w:rFonts w:hint="eastAsia" w:cs="仿宋"/>
        </w:rPr>
        <w:t>应当在</w:t>
      </w:r>
      <w:r>
        <w:rPr>
          <w:rFonts w:hint="eastAsia" w:cs="仿宋"/>
          <w:lang w:val="en-US" w:eastAsia="zh-CN"/>
        </w:rPr>
        <w:t>成交</w:t>
      </w:r>
      <w:r>
        <w:rPr>
          <w:rFonts w:hint="eastAsia" w:cs="仿宋"/>
        </w:rPr>
        <w:t>通知书发出之日起</w:t>
      </w:r>
      <w:r>
        <w:rPr>
          <w:rFonts w:hint="eastAsia" w:cs="仿宋"/>
          <w:lang w:val="en-US" w:eastAsia="zh-CN"/>
        </w:rPr>
        <w:t>7</w:t>
      </w:r>
      <w:r>
        <w:rPr>
          <w:rFonts w:hint="eastAsia" w:cs="仿宋"/>
        </w:rPr>
        <w:t>日内，根据</w:t>
      </w:r>
      <w:r>
        <w:rPr>
          <w:rFonts w:hint="eastAsia" w:cs="仿宋"/>
          <w:lang w:val="en-US" w:eastAsia="zh-CN"/>
        </w:rPr>
        <w:t>谈判</w:t>
      </w:r>
      <w:r>
        <w:rPr>
          <w:rFonts w:hint="eastAsia" w:cs="仿宋"/>
        </w:rPr>
        <w:t>文件和</w:t>
      </w:r>
      <w:r>
        <w:rPr>
          <w:rFonts w:hint="eastAsia" w:cs="仿宋"/>
          <w:sz w:val="24"/>
          <w:lang w:val="en-US" w:eastAsia="zh-CN"/>
        </w:rPr>
        <w:t>供应商</w:t>
      </w:r>
      <w:r>
        <w:rPr>
          <w:rFonts w:hint="eastAsia" w:cs="仿宋"/>
        </w:rPr>
        <w:t>的</w:t>
      </w:r>
      <w:r>
        <w:rPr>
          <w:rFonts w:hint="eastAsia" w:cs="仿宋"/>
          <w:lang w:val="en-US" w:eastAsia="zh-CN"/>
        </w:rPr>
        <w:t>响应</w:t>
      </w:r>
      <w:r>
        <w:rPr>
          <w:rFonts w:hint="eastAsia" w:cs="仿宋"/>
        </w:rPr>
        <w:t>文件订立书面合同。</w:t>
      </w:r>
      <w:r>
        <w:rPr>
          <w:rFonts w:hint="eastAsia" w:cs="仿宋"/>
          <w:sz w:val="24"/>
          <w:lang w:val="en-US" w:eastAsia="zh-CN"/>
        </w:rPr>
        <w:t>供应商</w:t>
      </w:r>
      <w:r>
        <w:rPr>
          <w:rFonts w:hint="eastAsia" w:cs="仿宋"/>
        </w:rPr>
        <w:t>无正当理由拒签合同，在签订合同时向</w:t>
      </w:r>
      <w:r>
        <w:rPr>
          <w:rFonts w:hint="eastAsia" w:cs="仿宋"/>
          <w:lang w:val="en-US" w:eastAsia="zh-CN"/>
        </w:rPr>
        <w:t>采购</w:t>
      </w:r>
      <w:r>
        <w:rPr>
          <w:rFonts w:hint="eastAsia" w:cs="仿宋"/>
        </w:rPr>
        <w:t>人提出附加条件，或者不按照</w:t>
      </w:r>
      <w:r>
        <w:rPr>
          <w:rFonts w:hint="eastAsia" w:cs="仿宋"/>
          <w:lang w:val="en-US" w:eastAsia="zh-CN"/>
        </w:rPr>
        <w:t>谈判</w:t>
      </w:r>
      <w:r>
        <w:rPr>
          <w:rFonts w:hint="eastAsia" w:cs="仿宋"/>
        </w:rPr>
        <w:t>文件要求提交履约保证金的，</w:t>
      </w:r>
      <w:r>
        <w:rPr>
          <w:rFonts w:hint="eastAsia" w:cs="仿宋"/>
          <w:lang w:val="en-US" w:eastAsia="zh-CN"/>
        </w:rPr>
        <w:t>采购</w:t>
      </w:r>
      <w:r>
        <w:rPr>
          <w:rFonts w:hint="eastAsia" w:cs="仿宋"/>
        </w:rPr>
        <w:t>人有权取消其</w:t>
      </w:r>
      <w:r>
        <w:rPr>
          <w:rFonts w:hint="eastAsia" w:cs="仿宋"/>
          <w:lang w:val="en-US" w:eastAsia="zh-CN"/>
        </w:rPr>
        <w:t>成交</w:t>
      </w:r>
      <w:r>
        <w:rPr>
          <w:rFonts w:hint="eastAsia" w:cs="仿宋"/>
        </w:rPr>
        <w:t>资格，其</w:t>
      </w:r>
      <w:r>
        <w:rPr>
          <w:rFonts w:hint="eastAsia" w:cs="仿宋"/>
          <w:lang w:val="en-US" w:eastAsia="zh-CN"/>
        </w:rPr>
        <w:t>谈判</w:t>
      </w:r>
      <w:r>
        <w:rPr>
          <w:rFonts w:hint="eastAsia" w:cs="仿宋"/>
        </w:rPr>
        <w:t>保证金不予退还；给</w:t>
      </w:r>
      <w:r>
        <w:rPr>
          <w:rFonts w:hint="eastAsia" w:cs="仿宋"/>
          <w:lang w:val="en-US" w:eastAsia="zh-CN"/>
        </w:rPr>
        <w:t>采购</w:t>
      </w:r>
      <w:r>
        <w:rPr>
          <w:rFonts w:hint="eastAsia" w:cs="仿宋"/>
        </w:rPr>
        <w:t>人造成的损失超过</w:t>
      </w:r>
      <w:r>
        <w:rPr>
          <w:rFonts w:hint="eastAsia" w:cs="仿宋"/>
          <w:lang w:val="en-US" w:eastAsia="zh-CN"/>
        </w:rPr>
        <w:t>谈判</w:t>
      </w:r>
      <w:r>
        <w:rPr>
          <w:rFonts w:hint="eastAsia" w:cs="仿宋"/>
        </w:rPr>
        <w:t>保证金数额的，</w:t>
      </w:r>
      <w:r>
        <w:rPr>
          <w:rFonts w:hint="eastAsia" w:cs="仿宋"/>
          <w:lang w:val="en-US" w:eastAsia="zh-CN"/>
        </w:rPr>
        <w:t>供应商</w:t>
      </w:r>
      <w:r>
        <w:rPr>
          <w:rFonts w:hint="eastAsia" w:cs="仿宋"/>
        </w:rPr>
        <w:t>还应当对超过部分予以赔偿。</w:t>
      </w:r>
    </w:p>
    <w:p w14:paraId="0A0D022B">
      <w:pPr>
        <w:pStyle w:val="15"/>
        <w:rPr>
          <w:rStyle w:val="21"/>
          <w:rFonts w:hint="eastAsia" w:eastAsia="宋体"/>
          <w:b/>
          <w:bCs/>
          <w:lang w:eastAsia="zh-CN"/>
        </w:rPr>
      </w:pPr>
      <w:bookmarkStart w:id="77" w:name="_Toc507936051"/>
      <w:bookmarkStart w:id="78" w:name="_Toc506105859"/>
      <w:r>
        <w:rPr>
          <w:rStyle w:val="21"/>
          <w:rFonts w:hint="eastAsia"/>
          <w:b/>
          <w:bCs/>
        </w:rPr>
        <w:t>8.重新</w:t>
      </w:r>
      <w:bookmarkEnd w:id="77"/>
      <w:bookmarkEnd w:id="78"/>
      <w:bookmarkStart w:id="79" w:name="_Toc506105860"/>
      <w:r>
        <w:rPr>
          <w:rStyle w:val="21"/>
          <w:rFonts w:hint="eastAsia" w:eastAsia="宋体"/>
          <w:b/>
          <w:bCs/>
          <w:lang w:val="en-US" w:eastAsia="zh-CN"/>
        </w:rPr>
        <w:t>谈判</w:t>
      </w:r>
    </w:p>
    <w:bookmarkEnd w:id="79"/>
    <w:p w14:paraId="4D2BF71E">
      <w:pPr>
        <w:pStyle w:val="22"/>
        <w:rPr>
          <w:rFonts w:hint="eastAsia" w:eastAsia="宋体"/>
          <w:lang w:eastAsia="zh-CN"/>
        </w:rPr>
      </w:pPr>
      <w:bookmarkStart w:id="80" w:name="_Toc507936052"/>
      <w:r>
        <w:rPr>
          <w:rFonts w:hint="eastAsia"/>
        </w:rPr>
        <w:t>8.1重新</w:t>
      </w:r>
      <w:bookmarkEnd w:id="80"/>
      <w:r>
        <w:rPr>
          <w:rFonts w:hint="eastAsia"/>
          <w:lang w:val="en-US" w:eastAsia="zh-CN"/>
        </w:rPr>
        <w:t>谈判</w:t>
      </w:r>
    </w:p>
    <w:p w14:paraId="025E9CFB">
      <w:pPr>
        <w:spacing w:line="360" w:lineRule="auto"/>
        <w:rPr>
          <w:rFonts w:ascii="宋体" w:hAnsi="宋体" w:cs="仿宋"/>
          <w:sz w:val="28"/>
          <w:szCs w:val="28"/>
        </w:rPr>
      </w:pP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72B686AD">
      <w:pPr>
        <w:pStyle w:val="15"/>
        <w:rPr>
          <w:rStyle w:val="21"/>
          <w:b/>
          <w:bCs/>
        </w:rPr>
      </w:pPr>
      <w:bookmarkStart w:id="81" w:name="_Toc269310962"/>
      <w:bookmarkStart w:id="82" w:name="_Toc152045574"/>
      <w:bookmarkStart w:id="83" w:name="_Toc446434333"/>
      <w:bookmarkStart w:id="84" w:name="_Toc144974542"/>
      <w:bookmarkStart w:id="85" w:name="_Toc312072272"/>
      <w:bookmarkStart w:id="86" w:name="_Toc152042350"/>
      <w:bookmarkStart w:id="87" w:name="_Toc507936053"/>
      <w:r>
        <w:rPr>
          <w:rStyle w:val="21"/>
          <w:b/>
          <w:bCs/>
        </w:rPr>
        <w:t xml:space="preserve">9. </w:t>
      </w:r>
      <w:r>
        <w:rPr>
          <w:rStyle w:val="21"/>
          <w:rFonts w:hint="eastAsia"/>
          <w:b/>
          <w:bCs/>
        </w:rPr>
        <w:t>纪律和监督</w:t>
      </w:r>
      <w:bookmarkEnd w:id="81"/>
      <w:bookmarkEnd w:id="82"/>
      <w:bookmarkEnd w:id="83"/>
      <w:bookmarkEnd w:id="84"/>
      <w:bookmarkEnd w:id="85"/>
      <w:bookmarkEnd w:id="86"/>
      <w:bookmarkEnd w:id="87"/>
    </w:p>
    <w:p w14:paraId="48EF4450">
      <w:pPr>
        <w:pStyle w:val="22"/>
        <w:rPr>
          <w:rFonts w:hint="eastAsia"/>
        </w:rPr>
      </w:pPr>
      <w:bookmarkStart w:id="88" w:name="_Toc507936054"/>
      <w:bookmarkStart w:id="89" w:name="_Toc269310968"/>
      <w:bookmarkStart w:id="90" w:name="_Toc144974547"/>
      <w:bookmarkStart w:id="91" w:name="_Toc507936059"/>
      <w:bookmarkStart w:id="92" w:name="_Toc312072278"/>
      <w:bookmarkStart w:id="93" w:name="_Toc446434339"/>
      <w:bookmarkStart w:id="94" w:name="_Toc152045580"/>
      <w:bookmarkStart w:id="95" w:name="_Toc152042357"/>
      <w:r>
        <w:rPr>
          <w:rFonts w:hint="eastAsia"/>
        </w:rPr>
        <w:t>9.1对</w:t>
      </w:r>
      <w:r>
        <w:rPr>
          <w:rFonts w:hint="eastAsia"/>
          <w:lang w:val="en-US" w:eastAsia="zh-CN"/>
        </w:rPr>
        <w:t>采购</w:t>
      </w:r>
      <w:r>
        <w:rPr>
          <w:rFonts w:hint="eastAsia"/>
        </w:rPr>
        <w:t>人的纪律要求</w:t>
      </w:r>
      <w:bookmarkEnd w:id="88"/>
    </w:p>
    <w:p w14:paraId="2B26296B">
      <w:pPr>
        <w:spacing w:line="400" w:lineRule="exact"/>
        <w:ind w:firstLine="480" w:firstLineChars="200"/>
        <w:rPr>
          <w:sz w:val="24"/>
        </w:rPr>
      </w:pPr>
      <w:r>
        <w:rPr>
          <w:rFonts w:hint="eastAsia" w:cs="宋体"/>
          <w:sz w:val="24"/>
          <w:lang w:val="en-US" w:eastAsia="zh-CN"/>
        </w:rPr>
        <w:t>采购</w:t>
      </w:r>
      <w:r>
        <w:rPr>
          <w:rFonts w:hint="eastAsia" w:cs="宋体"/>
          <w:sz w:val="24"/>
        </w:rPr>
        <w:t>人不得泄漏</w:t>
      </w:r>
      <w:r>
        <w:rPr>
          <w:rFonts w:hint="eastAsia" w:cs="宋体"/>
          <w:sz w:val="24"/>
          <w:lang w:val="en-US" w:eastAsia="zh-CN"/>
        </w:rPr>
        <w:t>谈判</w:t>
      </w:r>
      <w:r>
        <w:rPr>
          <w:rFonts w:hint="eastAsia" w:cs="宋体"/>
          <w:sz w:val="24"/>
        </w:rPr>
        <w:t>活动中应当保密的情况和资料，不得与</w:t>
      </w:r>
      <w:r>
        <w:rPr>
          <w:rFonts w:hint="eastAsia" w:cs="宋体"/>
          <w:sz w:val="24"/>
          <w:lang w:val="en-US" w:eastAsia="zh-CN"/>
        </w:rPr>
        <w:t>供应商</w:t>
      </w:r>
      <w:r>
        <w:rPr>
          <w:rFonts w:hint="eastAsia" w:cs="宋体"/>
          <w:sz w:val="24"/>
        </w:rPr>
        <w:t>串通损害国家利益、社会公共利益和他人合法权益。</w:t>
      </w:r>
    </w:p>
    <w:p w14:paraId="3687D7B9">
      <w:pPr>
        <w:pStyle w:val="22"/>
        <w:rPr>
          <w:rFonts w:hint="eastAsia"/>
        </w:rPr>
      </w:pPr>
      <w:bookmarkStart w:id="96" w:name="_Toc507936055"/>
      <w:r>
        <w:rPr>
          <w:rFonts w:hint="eastAsia"/>
        </w:rPr>
        <w:t>9.2对</w:t>
      </w:r>
      <w:r>
        <w:rPr>
          <w:rFonts w:hint="eastAsia"/>
          <w:lang w:val="en-US" w:eastAsia="zh-CN"/>
        </w:rPr>
        <w:t>供应商</w:t>
      </w:r>
      <w:r>
        <w:rPr>
          <w:rFonts w:hint="eastAsia"/>
        </w:rPr>
        <w:t>的纪律要求</w:t>
      </w:r>
      <w:bookmarkEnd w:id="96"/>
    </w:p>
    <w:p w14:paraId="14DC0160">
      <w:pPr>
        <w:spacing w:line="400" w:lineRule="exact"/>
        <w:ind w:firstLine="480" w:firstLineChars="200"/>
        <w:rPr>
          <w:sz w:val="24"/>
        </w:rPr>
      </w:pPr>
      <w:r>
        <w:rPr>
          <w:rFonts w:hint="eastAsia" w:cs="宋体"/>
          <w:sz w:val="24"/>
          <w:lang w:val="en-US" w:eastAsia="zh-CN"/>
        </w:rPr>
        <w:t>供应商</w:t>
      </w:r>
      <w:r>
        <w:rPr>
          <w:rFonts w:hint="eastAsia" w:cs="宋体"/>
          <w:sz w:val="24"/>
        </w:rPr>
        <w:t>不得相互串通或者与</w:t>
      </w:r>
      <w:r>
        <w:rPr>
          <w:rFonts w:hint="eastAsia" w:cs="宋体"/>
          <w:sz w:val="24"/>
          <w:lang w:val="en-US" w:eastAsia="zh-CN"/>
        </w:rPr>
        <w:t>采购</w:t>
      </w:r>
      <w:r>
        <w:rPr>
          <w:rFonts w:hint="eastAsia" w:cs="宋体"/>
          <w:sz w:val="24"/>
        </w:rPr>
        <w:t>人串通，不得向</w:t>
      </w:r>
      <w:r>
        <w:rPr>
          <w:rFonts w:hint="eastAsia" w:cs="宋体"/>
          <w:sz w:val="24"/>
          <w:lang w:val="en-US" w:eastAsia="zh-CN"/>
        </w:rPr>
        <w:t>采购</w:t>
      </w:r>
      <w:r>
        <w:rPr>
          <w:rFonts w:hint="eastAsia" w:cs="宋体"/>
          <w:sz w:val="24"/>
        </w:rPr>
        <w:t>人或者评</w:t>
      </w:r>
      <w:r>
        <w:rPr>
          <w:rFonts w:hint="eastAsia" w:cs="宋体"/>
          <w:sz w:val="24"/>
          <w:lang w:val="en-US" w:eastAsia="zh-CN"/>
        </w:rPr>
        <w:t>审</w:t>
      </w:r>
      <w:r>
        <w:rPr>
          <w:rFonts w:hint="eastAsia" w:cs="宋体"/>
          <w:sz w:val="24"/>
        </w:rPr>
        <w:t>委员会成员行贿谋取</w:t>
      </w:r>
      <w:r>
        <w:rPr>
          <w:rFonts w:hint="eastAsia" w:cs="仿宋"/>
          <w:sz w:val="24"/>
          <w:lang w:val="en-US" w:eastAsia="zh-CN"/>
        </w:rPr>
        <w:t>成交</w:t>
      </w:r>
      <w:r>
        <w:rPr>
          <w:rFonts w:hint="eastAsia" w:cs="宋体"/>
          <w:sz w:val="24"/>
        </w:rPr>
        <w:t>，不得以他人名义</w:t>
      </w:r>
      <w:r>
        <w:rPr>
          <w:rFonts w:hint="eastAsia" w:cs="宋体"/>
          <w:sz w:val="24"/>
          <w:lang w:val="en-US" w:eastAsia="zh-CN"/>
        </w:rPr>
        <w:t>参加谈判</w:t>
      </w:r>
      <w:r>
        <w:rPr>
          <w:rFonts w:hint="eastAsia" w:cs="宋体"/>
          <w:sz w:val="24"/>
        </w:rPr>
        <w:t>或者以其他方式弄虚作假骗取</w:t>
      </w:r>
      <w:r>
        <w:rPr>
          <w:rFonts w:hint="eastAsia" w:cs="仿宋"/>
          <w:sz w:val="24"/>
          <w:lang w:val="en-US" w:eastAsia="zh-CN"/>
        </w:rPr>
        <w:t>成交</w:t>
      </w:r>
      <w:r>
        <w:rPr>
          <w:rFonts w:hint="eastAsia" w:cs="宋体"/>
          <w:sz w:val="24"/>
        </w:rPr>
        <w:t>；</w:t>
      </w:r>
      <w:r>
        <w:rPr>
          <w:rFonts w:hint="eastAsia" w:cs="宋体"/>
          <w:sz w:val="24"/>
          <w:lang w:val="en-US" w:eastAsia="zh-CN"/>
        </w:rPr>
        <w:t>供应商</w:t>
      </w:r>
      <w:r>
        <w:rPr>
          <w:rFonts w:hint="eastAsia" w:cs="宋体"/>
          <w:sz w:val="24"/>
        </w:rPr>
        <w:t>不得以任何方式干扰、影响评</w:t>
      </w:r>
      <w:r>
        <w:rPr>
          <w:rFonts w:hint="eastAsia" w:cs="宋体"/>
          <w:sz w:val="24"/>
          <w:lang w:val="en-US" w:eastAsia="zh-CN"/>
        </w:rPr>
        <w:t>审</w:t>
      </w:r>
      <w:r>
        <w:rPr>
          <w:rFonts w:hint="eastAsia" w:cs="宋体"/>
          <w:sz w:val="24"/>
        </w:rPr>
        <w:t>工作。</w:t>
      </w:r>
    </w:p>
    <w:p w14:paraId="446AC0C2">
      <w:pPr>
        <w:pStyle w:val="22"/>
      </w:pPr>
      <w:bookmarkStart w:id="97" w:name="_Toc312072275"/>
      <w:bookmarkStart w:id="98" w:name="_Toc507936056"/>
      <w:bookmarkStart w:id="99" w:name="_Toc446434336"/>
      <w:r>
        <w:t xml:space="preserve">9.3 </w:t>
      </w:r>
      <w:r>
        <w:rPr>
          <w:rFonts w:hint="eastAsia"/>
        </w:rPr>
        <w:t>对评</w:t>
      </w:r>
      <w:r>
        <w:rPr>
          <w:rFonts w:hint="eastAsia"/>
          <w:lang w:val="en-US" w:eastAsia="zh-CN"/>
        </w:rPr>
        <w:t>审</w:t>
      </w:r>
      <w:r>
        <w:rPr>
          <w:rFonts w:hint="eastAsia"/>
        </w:rPr>
        <w:t>委员会成员的纪律要求</w:t>
      </w:r>
      <w:bookmarkEnd w:id="97"/>
      <w:bookmarkEnd w:id="98"/>
      <w:bookmarkEnd w:id="99"/>
    </w:p>
    <w:p w14:paraId="05479C8D">
      <w:pPr>
        <w:spacing w:line="400" w:lineRule="exact"/>
        <w:ind w:firstLine="480" w:firstLineChars="200"/>
        <w:rPr>
          <w:sz w:val="24"/>
        </w:rPr>
      </w:pPr>
      <w:r>
        <w:rPr>
          <w:rFonts w:hint="eastAsia" w:cs="宋体"/>
          <w:sz w:val="24"/>
        </w:rPr>
        <w:t>评</w:t>
      </w:r>
      <w:r>
        <w:rPr>
          <w:rFonts w:hint="eastAsia" w:cs="宋体"/>
          <w:sz w:val="24"/>
          <w:lang w:val="en-US" w:eastAsia="zh-CN"/>
        </w:rPr>
        <w:t>审</w:t>
      </w:r>
      <w:r>
        <w:rPr>
          <w:rFonts w:hint="eastAsia" w:cs="宋体"/>
          <w:sz w:val="24"/>
        </w:rPr>
        <w:t>委员会成员不得收受他人的财物或者其他好处，不得向他人透漏对</w:t>
      </w:r>
      <w:r>
        <w:rPr>
          <w:rFonts w:hint="eastAsia" w:cs="宋体"/>
          <w:sz w:val="24"/>
          <w:lang w:val="en-US" w:eastAsia="zh-CN"/>
        </w:rPr>
        <w:t>响应</w:t>
      </w:r>
      <w:r>
        <w:rPr>
          <w:rFonts w:hint="eastAsia" w:cs="宋体"/>
          <w:sz w:val="24"/>
        </w:rPr>
        <w:t>文件的评审和比较、</w:t>
      </w:r>
      <w:r>
        <w:rPr>
          <w:rFonts w:hint="eastAsia" w:cs="宋体"/>
          <w:sz w:val="24"/>
          <w:lang w:val="en-US" w:eastAsia="zh-CN"/>
        </w:rPr>
        <w:t>成交</w:t>
      </w:r>
      <w:r>
        <w:rPr>
          <w:rFonts w:hint="eastAsia" w:cs="宋体"/>
          <w:sz w:val="24"/>
        </w:rPr>
        <w:t>候选人的推荐情况以及与</w:t>
      </w:r>
      <w:r>
        <w:rPr>
          <w:rFonts w:hint="eastAsia" w:cs="宋体"/>
          <w:sz w:val="24"/>
          <w:lang w:eastAsia="zh-CN"/>
        </w:rPr>
        <w:t>评审</w:t>
      </w:r>
      <w:r>
        <w:rPr>
          <w:rFonts w:hint="eastAsia" w:cs="宋体"/>
          <w:sz w:val="24"/>
        </w:rPr>
        <w:t>有关的其他情况。在</w:t>
      </w:r>
      <w:r>
        <w:rPr>
          <w:rFonts w:hint="eastAsia" w:cs="宋体"/>
          <w:sz w:val="24"/>
          <w:lang w:eastAsia="zh-CN"/>
        </w:rPr>
        <w:t>评审</w:t>
      </w:r>
      <w:r>
        <w:rPr>
          <w:rFonts w:hint="eastAsia" w:cs="宋体"/>
          <w:sz w:val="24"/>
        </w:rPr>
        <w:t>活动中，</w:t>
      </w:r>
      <w:r>
        <w:rPr>
          <w:rFonts w:hint="eastAsia" w:cs="宋体"/>
          <w:sz w:val="24"/>
          <w:lang w:eastAsia="zh-CN"/>
        </w:rPr>
        <w:t>评审</w:t>
      </w:r>
      <w:r>
        <w:rPr>
          <w:rFonts w:hint="eastAsia" w:cs="宋体"/>
          <w:sz w:val="24"/>
        </w:rPr>
        <w:t>委员会成员不得擅离职守，影响</w:t>
      </w:r>
      <w:r>
        <w:rPr>
          <w:rFonts w:hint="eastAsia" w:cs="宋体"/>
          <w:sz w:val="24"/>
          <w:lang w:eastAsia="zh-CN"/>
        </w:rPr>
        <w:t>评审</w:t>
      </w:r>
      <w:r>
        <w:rPr>
          <w:rFonts w:hint="eastAsia" w:cs="宋体"/>
          <w:sz w:val="24"/>
        </w:rPr>
        <w:t>程序正常进行，不得使用第三章“</w:t>
      </w:r>
      <w:r>
        <w:rPr>
          <w:rFonts w:hint="eastAsia" w:cs="宋体"/>
          <w:sz w:val="24"/>
          <w:lang w:eastAsia="zh-CN"/>
        </w:rPr>
        <w:t>评审</w:t>
      </w:r>
      <w:r>
        <w:rPr>
          <w:rFonts w:hint="eastAsia" w:cs="宋体"/>
          <w:sz w:val="24"/>
        </w:rPr>
        <w:t>办法”没有规定的评审因素和标准进行</w:t>
      </w:r>
      <w:r>
        <w:rPr>
          <w:rFonts w:hint="eastAsia" w:cs="宋体"/>
          <w:sz w:val="24"/>
          <w:lang w:eastAsia="zh-CN"/>
        </w:rPr>
        <w:t>评审</w:t>
      </w:r>
      <w:r>
        <w:rPr>
          <w:rFonts w:hint="eastAsia" w:cs="宋体"/>
          <w:sz w:val="24"/>
        </w:rPr>
        <w:t>。</w:t>
      </w:r>
    </w:p>
    <w:p w14:paraId="6650458F">
      <w:pPr>
        <w:pStyle w:val="22"/>
      </w:pPr>
      <w:bookmarkStart w:id="100" w:name="_Toc507936057"/>
      <w:bookmarkStart w:id="101" w:name="_Toc446434337"/>
      <w:bookmarkStart w:id="102" w:name="_Toc312072276"/>
      <w:r>
        <w:t xml:space="preserve">9.4 </w:t>
      </w:r>
      <w:r>
        <w:rPr>
          <w:rFonts w:hint="eastAsia"/>
        </w:rPr>
        <w:t>对与</w:t>
      </w:r>
      <w:r>
        <w:rPr>
          <w:rFonts w:hint="eastAsia"/>
          <w:lang w:eastAsia="zh-CN"/>
        </w:rPr>
        <w:t>评审</w:t>
      </w:r>
      <w:r>
        <w:rPr>
          <w:rFonts w:hint="eastAsia"/>
        </w:rPr>
        <w:t>活动有关的工作人员的纪律要求</w:t>
      </w:r>
      <w:bookmarkEnd w:id="100"/>
      <w:bookmarkEnd w:id="101"/>
      <w:bookmarkEnd w:id="102"/>
    </w:p>
    <w:p w14:paraId="01FB3BA3">
      <w:pPr>
        <w:spacing w:line="400" w:lineRule="exact"/>
        <w:ind w:firstLine="480" w:firstLineChars="200"/>
        <w:rPr>
          <w:sz w:val="24"/>
        </w:rPr>
      </w:pPr>
      <w:r>
        <w:rPr>
          <w:rFonts w:hint="eastAsia" w:cs="宋体"/>
          <w:sz w:val="24"/>
        </w:rPr>
        <w:t>与</w:t>
      </w:r>
      <w:r>
        <w:rPr>
          <w:rFonts w:hint="eastAsia" w:cs="宋体"/>
          <w:sz w:val="24"/>
          <w:lang w:eastAsia="zh-CN"/>
        </w:rPr>
        <w:t>评审</w:t>
      </w:r>
      <w:r>
        <w:rPr>
          <w:rFonts w:hint="eastAsia" w:cs="宋体"/>
          <w:sz w:val="24"/>
        </w:rPr>
        <w:t>活动有关的工作人员不得收受他人的财物或者其他好处，不得向他人透漏对</w:t>
      </w:r>
      <w:r>
        <w:rPr>
          <w:rFonts w:hint="eastAsia" w:cs="宋体"/>
          <w:sz w:val="24"/>
          <w:lang w:val="en-US" w:eastAsia="zh-CN"/>
        </w:rPr>
        <w:t>响应</w:t>
      </w:r>
      <w:r>
        <w:rPr>
          <w:rFonts w:hint="eastAsia" w:cs="宋体"/>
          <w:sz w:val="24"/>
        </w:rPr>
        <w:t>文件的评审和比较、</w:t>
      </w:r>
      <w:r>
        <w:rPr>
          <w:rFonts w:hint="eastAsia" w:cs="仿宋"/>
          <w:sz w:val="24"/>
          <w:lang w:val="en-US" w:eastAsia="zh-CN"/>
        </w:rPr>
        <w:t>成交</w:t>
      </w:r>
      <w:r>
        <w:rPr>
          <w:rFonts w:hint="eastAsia" w:cs="宋体"/>
          <w:sz w:val="24"/>
        </w:rPr>
        <w:t>候选人的推荐情况以及与</w:t>
      </w:r>
      <w:r>
        <w:rPr>
          <w:rFonts w:hint="eastAsia" w:cs="宋体"/>
          <w:sz w:val="24"/>
          <w:lang w:eastAsia="zh-CN"/>
        </w:rPr>
        <w:t>评审</w:t>
      </w:r>
      <w:r>
        <w:rPr>
          <w:rFonts w:hint="eastAsia" w:cs="宋体"/>
          <w:sz w:val="24"/>
        </w:rPr>
        <w:t>有关的其他情况。在</w:t>
      </w:r>
      <w:r>
        <w:rPr>
          <w:rFonts w:hint="eastAsia" w:cs="宋体"/>
          <w:sz w:val="24"/>
          <w:lang w:eastAsia="zh-CN"/>
        </w:rPr>
        <w:t>评审</w:t>
      </w:r>
      <w:r>
        <w:rPr>
          <w:rFonts w:hint="eastAsia" w:cs="宋体"/>
          <w:sz w:val="24"/>
        </w:rPr>
        <w:t>活动中，与</w:t>
      </w:r>
      <w:r>
        <w:rPr>
          <w:rFonts w:hint="eastAsia" w:cs="宋体"/>
          <w:sz w:val="24"/>
          <w:lang w:eastAsia="zh-CN"/>
        </w:rPr>
        <w:t>评审</w:t>
      </w:r>
      <w:r>
        <w:rPr>
          <w:rFonts w:hint="eastAsia" w:cs="宋体"/>
          <w:sz w:val="24"/>
        </w:rPr>
        <w:t>活动有关的工作人员不得擅离职守，影响</w:t>
      </w:r>
      <w:r>
        <w:rPr>
          <w:rFonts w:hint="eastAsia" w:cs="宋体"/>
          <w:sz w:val="24"/>
          <w:lang w:eastAsia="zh-CN"/>
        </w:rPr>
        <w:t>评审</w:t>
      </w:r>
      <w:r>
        <w:rPr>
          <w:rFonts w:hint="eastAsia" w:cs="宋体"/>
          <w:sz w:val="24"/>
        </w:rPr>
        <w:t>程序正常进行。</w:t>
      </w:r>
    </w:p>
    <w:p w14:paraId="4F8EA148">
      <w:pPr>
        <w:pStyle w:val="22"/>
      </w:pPr>
      <w:bookmarkStart w:id="103" w:name="_Toc312072277"/>
      <w:bookmarkStart w:id="104" w:name="_Toc446434338"/>
      <w:bookmarkStart w:id="105" w:name="_Toc507936058"/>
      <w:r>
        <w:t xml:space="preserve">9.5 </w:t>
      </w:r>
      <w:r>
        <w:rPr>
          <w:rFonts w:hint="eastAsia"/>
        </w:rPr>
        <w:t>投诉</w:t>
      </w:r>
      <w:bookmarkEnd w:id="103"/>
      <w:bookmarkEnd w:id="104"/>
      <w:bookmarkEnd w:id="105"/>
    </w:p>
    <w:p w14:paraId="4AC2B0CB">
      <w:pPr>
        <w:spacing w:line="400" w:lineRule="exact"/>
        <w:ind w:firstLine="480" w:firstLineChars="200"/>
        <w:rPr>
          <w:sz w:val="24"/>
        </w:rPr>
      </w:pPr>
      <w:r>
        <w:rPr>
          <w:rFonts w:hint="eastAsia" w:cs="宋体"/>
          <w:sz w:val="24"/>
          <w:lang w:eastAsia="zh-CN"/>
        </w:rPr>
        <w:t>供应商</w:t>
      </w:r>
      <w:r>
        <w:rPr>
          <w:rFonts w:hint="eastAsia" w:cs="宋体"/>
          <w:sz w:val="24"/>
        </w:rPr>
        <w:t>和其他利害关系人认为本次</w:t>
      </w:r>
      <w:r>
        <w:rPr>
          <w:rFonts w:hint="eastAsia" w:cs="宋体"/>
          <w:sz w:val="24"/>
          <w:lang w:val="en-US" w:eastAsia="zh-CN"/>
        </w:rPr>
        <w:t>谈判</w:t>
      </w:r>
      <w:r>
        <w:rPr>
          <w:rFonts w:hint="eastAsia" w:cs="宋体"/>
          <w:sz w:val="24"/>
        </w:rPr>
        <w:t>活动违反法律、法规和规章规定的，有权向市建设行政主管部门和相关监督部门投诉。</w:t>
      </w:r>
    </w:p>
    <w:p w14:paraId="63B77DC7">
      <w:pPr>
        <w:pStyle w:val="22"/>
        <w:jc w:val="center"/>
        <w:rPr>
          <w:rStyle w:val="21"/>
          <w:b/>
          <w:bCs/>
        </w:rPr>
      </w:pPr>
      <w:r>
        <w:rPr>
          <w:rStyle w:val="21"/>
          <w:b/>
          <w:bCs/>
        </w:rPr>
        <w:t xml:space="preserve">10. </w:t>
      </w:r>
      <w:r>
        <w:rPr>
          <w:rStyle w:val="21"/>
          <w:rFonts w:hint="eastAsia"/>
          <w:b/>
          <w:bCs/>
        </w:rPr>
        <w:t>需要补充的其他内容</w:t>
      </w:r>
      <w:bookmarkEnd w:id="89"/>
      <w:bookmarkEnd w:id="90"/>
      <w:bookmarkEnd w:id="91"/>
      <w:bookmarkEnd w:id="92"/>
      <w:bookmarkEnd w:id="93"/>
      <w:bookmarkEnd w:id="94"/>
      <w:bookmarkEnd w:id="95"/>
    </w:p>
    <w:p w14:paraId="6FBC0F45">
      <w:pPr>
        <w:pStyle w:val="22"/>
        <w:rPr>
          <w:rFonts w:hint="eastAsia" w:ascii="宋体" w:hAnsi="宋体" w:eastAsia="宋体" w:cs="仿宋"/>
          <w:b w:val="0"/>
          <w:bCs/>
          <w:color w:val="000000"/>
          <w:kern w:val="0"/>
          <w:sz w:val="24"/>
          <w:szCs w:val="24"/>
          <w:lang w:val="en-US" w:eastAsia="zh-CN" w:bidi="ar-SA"/>
        </w:rPr>
      </w:pPr>
      <w:bookmarkStart w:id="106" w:name="_Toc507936060"/>
      <w:bookmarkStart w:id="107" w:name="_Toc506105866"/>
      <w:r>
        <w:rPr>
          <w:rFonts w:hint="eastAsia" w:ascii="Arial" w:hAnsi="Arial" w:cs="Times New Roman"/>
          <w:b w:val="0"/>
          <w:bCs w:val="0"/>
        </w:rPr>
        <w:t>10. 需要补充的其他内容</w:t>
      </w:r>
    </w:p>
    <w:p w14:paraId="0B6A20A4">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附：否决响应条件</w:t>
      </w:r>
    </w:p>
    <w:p w14:paraId="0F1CD2F8">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B0.总则</w:t>
      </w:r>
    </w:p>
    <w:p w14:paraId="5915BC37">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本附件所集中列示的否决响应条件，是本章“评审办法”的组成部分，是对第二章“谈判须知”和本章正文部分所规定的否决响应条件的总结和补充。</w:t>
      </w:r>
    </w:p>
    <w:p w14:paraId="46E6D2EA">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B1.否决响应条件 </w:t>
      </w:r>
    </w:p>
    <w:p w14:paraId="7EDC51C1">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供应商或其响应文件有下列情形之一的，否决其响应资格：</w:t>
      </w:r>
    </w:p>
    <w:p w14:paraId="68F33CE3">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B1.1有第二章“谈判须知”规定的任何一种情形的。</w:t>
      </w:r>
    </w:p>
    <w:p w14:paraId="1D749D96">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 有串通投标或弄虚作假或其他违法行为的，详见下款：</w:t>
      </w:r>
    </w:p>
    <w:p w14:paraId="7BF0022F">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B1.2.1供应商之间协商谈判报价等响应文件的实质性内容；</w:t>
      </w:r>
    </w:p>
    <w:p w14:paraId="721EE84E">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B1.2.2供应商之间约定成交人；</w:t>
      </w:r>
    </w:p>
    <w:p w14:paraId="586E016F">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B1.2.3供应商之间约定部分供应商放弃响应或者成交；</w:t>
      </w:r>
    </w:p>
    <w:p w14:paraId="30CEB525">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B1.2.4属于同一集团、协会、商会等组织成员的供应商按照该组织要求协同响应；</w:t>
      </w:r>
    </w:p>
    <w:p w14:paraId="7685B9B2">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B1.2.5供应商之间为谋取成交或者排斥特定供应商而采取的其他联合行动；</w:t>
      </w:r>
    </w:p>
    <w:p w14:paraId="32183F21">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B1.2.6不同供应商的响应文件由同一单位或者个人编制；</w:t>
      </w:r>
    </w:p>
    <w:p w14:paraId="599E0AD9">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B1.2.7不同供应商委托同一单位或者个人办理响应事宜；</w:t>
      </w:r>
    </w:p>
    <w:p w14:paraId="34985D58">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B1.2.8不同供应商的响应文件异常一致或者响应报价呈规律性差异；</w:t>
      </w:r>
    </w:p>
    <w:p w14:paraId="5D8D4B59">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B1.2.9不同供应商的响应文件错漏之处一致的；</w:t>
      </w:r>
    </w:p>
    <w:p w14:paraId="100BB4A2">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B1.2.10不同供应商的响应文件相互混装；</w:t>
      </w:r>
    </w:p>
    <w:p w14:paraId="515CA2B4">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B1.2.11不同供应商的响应文件由同一台电脑编制或者同一台附属设备打印；</w:t>
      </w:r>
    </w:p>
    <w:p w14:paraId="001469E2">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B1.2.12不同供应商的谈判保证金从同一单位或者个人的账户转出；</w:t>
      </w:r>
    </w:p>
    <w:p w14:paraId="1F5AFABA">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B1.2.13不同供应商使用同一个人或者企业资金交纳响应保证金或者响应保函的反担保的；</w:t>
      </w:r>
    </w:p>
    <w:p w14:paraId="7FA611AE">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B1.2.14使用伪造、变造的许可证件；</w:t>
      </w:r>
    </w:p>
    <w:p w14:paraId="0A2EA9C0">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B1.2.15提供虚假的财务状况或者业绩；</w:t>
      </w:r>
    </w:p>
    <w:p w14:paraId="7EE7B349">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B1.2.16提供虚假的信用状况；</w:t>
      </w:r>
    </w:p>
    <w:p w14:paraId="06723C6F">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B1.2.17其他弄虚作假的行为；</w:t>
      </w:r>
    </w:p>
    <w:p w14:paraId="14E83976">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B1.2.18采购人在谈判前开启响应文件并将有关信息泄露给其他供应商；</w:t>
      </w:r>
    </w:p>
    <w:p w14:paraId="475CCF98">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B1.2.19采购人直接或者间接向供应商泄露底价、评审委员会成员等信息；</w:t>
      </w:r>
    </w:p>
    <w:p w14:paraId="1FECC0E6">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B1.2.20采购人明示或者暗示供应商压低或者抬高报价；</w:t>
      </w:r>
    </w:p>
    <w:p w14:paraId="1F618306">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B1.2.21采购人授意供应商撤换、修改响应文件；</w:t>
      </w:r>
    </w:p>
    <w:p w14:paraId="62728EB1">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B1.2.22采购人明示或者暗示供应商为特定供应商成交提供方便；</w:t>
      </w:r>
    </w:p>
    <w:p w14:paraId="60FE774C">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B1.2.23采购人与供应商为谋求特定供应商成交而采取的其他串通行为；</w:t>
      </w:r>
    </w:p>
    <w:p w14:paraId="3BFC7D16">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B1.2.24评审委员会认定的其他串通情形；</w:t>
      </w:r>
    </w:p>
    <w:p w14:paraId="2758E77B">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B1.3不按评审委员会要求澄清、说明或补正的。</w:t>
      </w:r>
    </w:p>
    <w:p w14:paraId="075FE376">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B1.4在形式评审、资格评审（适用于未进行资格预审的）、响应性评审中，评审委员会认定供应商的响应文件不符合评审办法前附表中规定的任何一项评审标准的。</w:t>
      </w:r>
    </w:p>
    <w:p w14:paraId="6258318F">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B1.5当供应商资格预审申请文件的内容发生重大变化时，其在响应文件中更新的资料，未能通过资格评审的（适用于已进行资格预审的）。</w:t>
      </w:r>
    </w:p>
    <w:p w14:paraId="4F77B844">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B1.6在技术和资信评审中，评审委员会认定供应商的响应未能通过此项评审的。</w:t>
      </w:r>
    </w:p>
    <w:p w14:paraId="5A032D5B">
      <w:pPr>
        <w:pStyle w:val="20"/>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B1.7评审委员会认定供应商以低于成本报价竞争的。</w:t>
      </w:r>
    </w:p>
    <w:p w14:paraId="13C5CA4D">
      <w:pPr>
        <w:pStyle w:val="24"/>
        <w:rPr>
          <w:color w:val="auto"/>
        </w:rPr>
      </w:pPr>
      <w:r>
        <w:rPr>
          <w:rFonts w:hint="eastAsia"/>
          <w:color w:val="auto"/>
        </w:rPr>
        <w:t xml:space="preserve">第三章  </w:t>
      </w:r>
      <w:r>
        <w:rPr>
          <w:rFonts w:hint="eastAsia"/>
          <w:color w:val="auto"/>
          <w:lang w:eastAsia="zh-CN"/>
        </w:rPr>
        <w:t>评审</w:t>
      </w:r>
      <w:r>
        <w:rPr>
          <w:rFonts w:hint="eastAsia"/>
          <w:color w:val="auto"/>
        </w:rPr>
        <w:t>办法</w:t>
      </w:r>
      <w:bookmarkEnd w:id="106"/>
      <w:bookmarkEnd w:id="107"/>
    </w:p>
    <w:p w14:paraId="7636ED24">
      <w:pPr>
        <w:tabs>
          <w:tab w:val="left" w:pos="6237"/>
        </w:tabs>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为规范</w:t>
      </w:r>
      <w:r>
        <w:rPr>
          <w:rFonts w:hint="eastAsia" w:cs="仿宋"/>
          <w:bCs/>
          <w:color w:val="auto"/>
          <w:kern w:val="0"/>
          <w:sz w:val="24"/>
          <w:lang w:val="en-US" w:eastAsia="zh-CN"/>
        </w:rPr>
        <w:t>谈判</w:t>
      </w:r>
      <w:r>
        <w:rPr>
          <w:rFonts w:hint="eastAsia" w:ascii="宋体" w:hAnsi="宋体" w:cs="仿宋"/>
          <w:bCs/>
          <w:color w:val="auto"/>
          <w:kern w:val="0"/>
          <w:sz w:val="24"/>
        </w:rPr>
        <w:t>工作，制定本办法。</w:t>
      </w:r>
    </w:p>
    <w:p w14:paraId="52808025">
      <w:pPr>
        <w:spacing w:line="360" w:lineRule="auto"/>
        <w:rPr>
          <w:rFonts w:ascii="宋体" w:hAnsi="宋体" w:cs="仿宋"/>
          <w:color w:val="auto"/>
          <w:kern w:val="0"/>
          <w:sz w:val="24"/>
        </w:rPr>
      </w:pPr>
      <w:r>
        <w:rPr>
          <w:rFonts w:hint="eastAsia" w:ascii="宋体" w:hAnsi="宋体" w:cs="仿宋"/>
          <w:color w:val="auto"/>
          <w:kern w:val="0"/>
          <w:sz w:val="24"/>
        </w:rPr>
        <w:t>一、评审方法</w:t>
      </w:r>
    </w:p>
    <w:p w14:paraId="180F7742">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按</w:t>
      </w:r>
      <w:r>
        <w:rPr>
          <w:rFonts w:hint="eastAsia" w:cs="仿宋"/>
          <w:bCs/>
          <w:color w:val="auto"/>
          <w:kern w:val="0"/>
          <w:sz w:val="24"/>
          <w:lang w:val="en-US" w:eastAsia="zh-CN"/>
        </w:rPr>
        <w:t>综合评审法</w:t>
      </w:r>
      <w:r>
        <w:rPr>
          <w:rFonts w:hint="eastAsia" w:ascii="宋体" w:hAnsi="宋体" w:cs="仿宋"/>
          <w:bCs/>
          <w:color w:val="auto"/>
          <w:kern w:val="0"/>
          <w:sz w:val="24"/>
        </w:rPr>
        <w:t>进行</w:t>
      </w:r>
      <w:r>
        <w:rPr>
          <w:rFonts w:hint="eastAsia" w:cs="仿宋"/>
          <w:bCs/>
          <w:color w:val="auto"/>
          <w:kern w:val="0"/>
          <w:sz w:val="24"/>
          <w:lang w:eastAsia="zh-CN"/>
        </w:rPr>
        <w:t>评审</w:t>
      </w:r>
      <w:r>
        <w:rPr>
          <w:rFonts w:hint="eastAsia" w:ascii="宋体" w:hAnsi="宋体" w:cs="仿宋"/>
          <w:bCs/>
          <w:color w:val="auto"/>
          <w:kern w:val="0"/>
          <w:sz w:val="24"/>
        </w:rPr>
        <w:t>。</w:t>
      </w:r>
    </w:p>
    <w:p w14:paraId="13541B11">
      <w:pPr>
        <w:spacing w:line="360" w:lineRule="auto"/>
        <w:rPr>
          <w:rFonts w:ascii="宋体" w:hAnsi="宋体" w:cs="仿宋"/>
          <w:color w:val="auto"/>
          <w:kern w:val="0"/>
          <w:sz w:val="24"/>
        </w:rPr>
      </w:pPr>
      <w:r>
        <w:rPr>
          <w:rFonts w:hint="eastAsia" w:ascii="宋体" w:hAnsi="宋体" w:cs="仿宋"/>
          <w:bCs/>
          <w:color w:val="auto"/>
          <w:kern w:val="0"/>
          <w:sz w:val="24"/>
        </w:rPr>
        <w:t>二、</w:t>
      </w:r>
      <w:r>
        <w:rPr>
          <w:rFonts w:hint="eastAsia" w:cs="仿宋"/>
          <w:bCs/>
          <w:color w:val="auto"/>
          <w:kern w:val="0"/>
          <w:sz w:val="24"/>
          <w:lang w:eastAsia="zh-CN"/>
        </w:rPr>
        <w:t>评审</w:t>
      </w:r>
      <w:r>
        <w:rPr>
          <w:rFonts w:hint="eastAsia" w:ascii="宋体" w:hAnsi="宋体" w:cs="仿宋"/>
          <w:bCs/>
          <w:color w:val="auto"/>
          <w:kern w:val="0"/>
          <w:sz w:val="24"/>
        </w:rPr>
        <w:t>原则</w:t>
      </w:r>
    </w:p>
    <w:p w14:paraId="20507F13">
      <w:pPr>
        <w:spacing w:line="360" w:lineRule="auto"/>
        <w:ind w:firstLine="480" w:firstLineChars="200"/>
        <w:rPr>
          <w:rFonts w:ascii="宋体" w:hAnsi="宋体" w:cs="仿宋"/>
          <w:color w:val="auto"/>
          <w:kern w:val="0"/>
          <w:sz w:val="24"/>
        </w:rPr>
      </w:pPr>
      <w:r>
        <w:rPr>
          <w:rFonts w:hint="eastAsia" w:cs="仿宋"/>
          <w:bCs/>
          <w:color w:val="auto"/>
          <w:kern w:val="0"/>
          <w:sz w:val="24"/>
          <w:lang w:eastAsia="zh-CN"/>
        </w:rPr>
        <w:t>评审</w:t>
      </w:r>
      <w:r>
        <w:rPr>
          <w:rFonts w:hint="eastAsia" w:ascii="宋体" w:hAnsi="宋体" w:cs="仿宋"/>
          <w:bCs/>
          <w:color w:val="auto"/>
          <w:kern w:val="0"/>
          <w:sz w:val="24"/>
        </w:rPr>
        <w:t>遵循公平、公正、科学、择优的原则。</w:t>
      </w:r>
    </w:p>
    <w:p w14:paraId="16DD837B">
      <w:pPr>
        <w:spacing w:line="360" w:lineRule="auto"/>
        <w:rPr>
          <w:rFonts w:ascii="宋体" w:hAnsi="宋体" w:cs="仿宋"/>
          <w:color w:val="auto"/>
          <w:kern w:val="0"/>
          <w:sz w:val="24"/>
        </w:rPr>
      </w:pPr>
      <w:r>
        <w:rPr>
          <w:rFonts w:hint="eastAsia" w:ascii="宋体" w:hAnsi="宋体" w:cs="仿宋"/>
          <w:bCs/>
          <w:color w:val="auto"/>
          <w:kern w:val="0"/>
          <w:sz w:val="24"/>
        </w:rPr>
        <w:t>三、</w:t>
      </w:r>
      <w:r>
        <w:rPr>
          <w:rFonts w:hint="eastAsia" w:cs="仿宋"/>
          <w:bCs/>
          <w:color w:val="auto"/>
          <w:kern w:val="0"/>
          <w:sz w:val="24"/>
          <w:lang w:eastAsia="zh-CN"/>
        </w:rPr>
        <w:t>评审</w:t>
      </w:r>
      <w:r>
        <w:rPr>
          <w:rFonts w:hint="eastAsia" w:ascii="宋体" w:hAnsi="宋体" w:cs="仿宋"/>
          <w:bCs/>
          <w:color w:val="auto"/>
          <w:kern w:val="0"/>
          <w:sz w:val="24"/>
        </w:rPr>
        <w:t>组织及服务</w:t>
      </w:r>
    </w:p>
    <w:p w14:paraId="22D262ED">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1、为做好</w:t>
      </w:r>
      <w:r>
        <w:rPr>
          <w:rFonts w:hint="eastAsia" w:cs="仿宋"/>
          <w:bCs/>
          <w:color w:val="auto"/>
          <w:kern w:val="0"/>
          <w:sz w:val="24"/>
          <w:lang w:eastAsia="zh-CN"/>
        </w:rPr>
        <w:t>评审</w:t>
      </w:r>
      <w:r>
        <w:rPr>
          <w:rFonts w:hint="eastAsia" w:ascii="宋体" w:hAnsi="宋体" w:cs="仿宋"/>
          <w:bCs/>
          <w:color w:val="auto"/>
          <w:kern w:val="0"/>
          <w:sz w:val="24"/>
        </w:rPr>
        <w:t>工作，成立</w:t>
      </w:r>
      <w:r>
        <w:rPr>
          <w:rFonts w:hint="eastAsia" w:cs="仿宋"/>
          <w:bCs/>
          <w:color w:val="auto"/>
          <w:kern w:val="0"/>
          <w:sz w:val="24"/>
          <w:lang w:eastAsia="zh-CN"/>
        </w:rPr>
        <w:t>评审</w:t>
      </w:r>
      <w:r>
        <w:rPr>
          <w:rFonts w:hint="eastAsia" w:ascii="宋体" w:hAnsi="宋体" w:cs="仿宋"/>
          <w:bCs/>
          <w:color w:val="auto"/>
          <w:kern w:val="0"/>
          <w:sz w:val="24"/>
        </w:rPr>
        <w:t>委员会和工作小组。</w:t>
      </w:r>
    </w:p>
    <w:p w14:paraId="2EDCC025">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w:t>
      </w:r>
      <w:r>
        <w:rPr>
          <w:rFonts w:hint="eastAsia" w:cs="仿宋"/>
          <w:bCs/>
          <w:color w:val="auto"/>
          <w:kern w:val="0"/>
          <w:sz w:val="24"/>
          <w:lang w:eastAsia="zh-CN"/>
        </w:rPr>
        <w:t>评审</w:t>
      </w:r>
      <w:r>
        <w:rPr>
          <w:rFonts w:hint="eastAsia" w:ascii="宋体" w:hAnsi="宋体" w:cs="仿宋"/>
          <w:bCs/>
          <w:color w:val="auto"/>
          <w:kern w:val="0"/>
          <w:sz w:val="24"/>
        </w:rPr>
        <w:t>委员会</w:t>
      </w:r>
    </w:p>
    <w:p w14:paraId="223BD2BD">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2.1</w:t>
      </w:r>
      <w:r>
        <w:rPr>
          <w:rFonts w:hint="eastAsia" w:cs="仿宋"/>
          <w:bCs/>
          <w:color w:val="auto"/>
          <w:kern w:val="0"/>
          <w:sz w:val="24"/>
          <w:lang w:eastAsia="zh-CN"/>
        </w:rPr>
        <w:t>评审</w:t>
      </w:r>
      <w:r>
        <w:rPr>
          <w:rFonts w:hint="eastAsia" w:ascii="宋体" w:hAnsi="宋体" w:cs="仿宋"/>
          <w:bCs/>
          <w:color w:val="auto"/>
          <w:kern w:val="0"/>
          <w:sz w:val="24"/>
        </w:rPr>
        <w:t>委员会由</w:t>
      </w:r>
      <w:r>
        <w:rPr>
          <w:rFonts w:hint="eastAsia" w:cs="仿宋"/>
          <w:bCs/>
          <w:color w:val="auto"/>
          <w:kern w:val="0"/>
          <w:sz w:val="24"/>
          <w:lang w:val="en-US" w:eastAsia="zh-CN"/>
        </w:rPr>
        <w:t>采购</w:t>
      </w:r>
      <w:r>
        <w:rPr>
          <w:rFonts w:hint="eastAsia" w:ascii="宋体" w:hAnsi="宋体" w:cs="仿宋"/>
          <w:bCs/>
          <w:color w:val="auto"/>
          <w:kern w:val="0"/>
          <w:sz w:val="24"/>
        </w:rPr>
        <w:t>人依法组建，</w:t>
      </w:r>
      <w:r>
        <w:rPr>
          <w:rFonts w:hint="eastAsia" w:cs="仿宋"/>
          <w:bCs/>
          <w:color w:val="auto"/>
          <w:kern w:val="0"/>
          <w:sz w:val="24"/>
          <w:lang w:eastAsia="zh-CN"/>
        </w:rPr>
        <w:t>评审</w:t>
      </w:r>
      <w:r>
        <w:rPr>
          <w:rFonts w:hint="eastAsia" w:ascii="宋体" w:hAnsi="宋体" w:cs="仿宋"/>
          <w:bCs/>
          <w:color w:val="auto"/>
          <w:kern w:val="0"/>
          <w:sz w:val="24"/>
        </w:rPr>
        <w:t>委员会成员由</w:t>
      </w:r>
      <w:r>
        <w:rPr>
          <w:rFonts w:hint="eastAsia" w:cs="仿宋"/>
          <w:bCs/>
          <w:color w:val="auto"/>
          <w:kern w:val="0"/>
          <w:sz w:val="24"/>
          <w:lang w:eastAsia="zh-CN"/>
        </w:rPr>
        <w:t>采购人</w:t>
      </w:r>
      <w:r>
        <w:rPr>
          <w:rFonts w:hint="eastAsia" w:ascii="宋体" w:hAnsi="宋体" w:cs="仿宋"/>
          <w:bCs/>
          <w:color w:val="auto"/>
          <w:kern w:val="0"/>
          <w:sz w:val="24"/>
        </w:rPr>
        <w:t>代表及熟悉相关业务的有关技术、经济等方面的专家组成。</w:t>
      </w:r>
    </w:p>
    <w:p w14:paraId="6CE9A326">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2.2</w:t>
      </w:r>
      <w:r>
        <w:rPr>
          <w:rFonts w:hint="eastAsia" w:cs="仿宋"/>
          <w:bCs/>
          <w:color w:val="auto"/>
          <w:kern w:val="0"/>
          <w:sz w:val="24"/>
          <w:lang w:eastAsia="zh-CN"/>
        </w:rPr>
        <w:t>评审</w:t>
      </w:r>
      <w:r>
        <w:rPr>
          <w:rFonts w:hint="eastAsia" w:ascii="宋体" w:hAnsi="宋体" w:cs="仿宋"/>
          <w:bCs/>
          <w:color w:val="auto"/>
          <w:kern w:val="0"/>
          <w:sz w:val="24"/>
        </w:rPr>
        <w:t>委员会成员为</w:t>
      </w:r>
      <w:r>
        <w:rPr>
          <w:rFonts w:hint="eastAsia" w:cs="仿宋"/>
          <w:bCs/>
          <w:color w:val="auto"/>
          <w:kern w:val="0"/>
          <w:sz w:val="24"/>
          <w:lang w:val="en-US" w:eastAsia="zh-CN"/>
        </w:rPr>
        <w:t>3</w:t>
      </w:r>
      <w:r>
        <w:rPr>
          <w:rFonts w:hint="eastAsia" w:ascii="宋体" w:hAnsi="宋体" w:cs="仿宋"/>
          <w:bCs/>
          <w:color w:val="auto"/>
          <w:kern w:val="0"/>
          <w:sz w:val="24"/>
        </w:rPr>
        <w:t>人及以上单数。</w:t>
      </w:r>
    </w:p>
    <w:p w14:paraId="1FFFF027">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2.3</w:t>
      </w:r>
      <w:r>
        <w:rPr>
          <w:rFonts w:hint="eastAsia" w:cs="仿宋"/>
          <w:bCs/>
          <w:color w:val="auto"/>
          <w:kern w:val="0"/>
          <w:sz w:val="24"/>
          <w:lang w:eastAsia="zh-CN"/>
        </w:rPr>
        <w:t>评审</w:t>
      </w:r>
      <w:r>
        <w:rPr>
          <w:rFonts w:hint="eastAsia" w:ascii="宋体" w:hAnsi="宋体" w:cs="仿宋"/>
          <w:bCs/>
          <w:color w:val="auto"/>
          <w:kern w:val="0"/>
          <w:sz w:val="24"/>
        </w:rPr>
        <w:t>工作由</w:t>
      </w:r>
      <w:r>
        <w:rPr>
          <w:rFonts w:hint="eastAsia" w:cs="仿宋"/>
          <w:bCs/>
          <w:color w:val="auto"/>
          <w:kern w:val="0"/>
          <w:sz w:val="24"/>
          <w:lang w:eastAsia="zh-CN"/>
        </w:rPr>
        <w:t>评审</w:t>
      </w:r>
      <w:r>
        <w:rPr>
          <w:rFonts w:hint="eastAsia" w:ascii="宋体" w:hAnsi="宋体" w:cs="仿宋"/>
          <w:bCs/>
          <w:color w:val="auto"/>
          <w:kern w:val="0"/>
          <w:sz w:val="24"/>
        </w:rPr>
        <w:t>委员会负责。</w:t>
      </w:r>
    </w:p>
    <w:p w14:paraId="04A6687A">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3、工作小组</w:t>
      </w:r>
    </w:p>
    <w:p w14:paraId="5D8E8CEC">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3.1由</w:t>
      </w:r>
      <w:r>
        <w:rPr>
          <w:rFonts w:hint="eastAsia" w:cs="仿宋"/>
          <w:bCs/>
          <w:color w:val="auto"/>
          <w:kern w:val="0"/>
          <w:sz w:val="24"/>
          <w:lang w:eastAsia="zh-CN"/>
        </w:rPr>
        <w:t>采购人</w:t>
      </w:r>
      <w:r>
        <w:rPr>
          <w:rFonts w:hint="eastAsia" w:ascii="宋体" w:hAnsi="宋体" w:cs="仿宋"/>
          <w:bCs/>
          <w:color w:val="auto"/>
          <w:kern w:val="0"/>
          <w:sz w:val="24"/>
        </w:rPr>
        <w:t>组成工作小组，为</w:t>
      </w:r>
      <w:r>
        <w:rPr>
          <w:rFonts w:hint="eastAsia" w:cs="仿宋"/>
          <w:bCs/>
          <w:color w:val="auto"/>
          <w:kern w:val="0"/>
          <w:sz w:val="24"/>
          <w:lang w:eastAsia="zh-CN"/>
        </w:rPr>
        <w:t>评审</w:t>
      </w:r>
      <w:r>
        <w:rPr>
          <w:rFonts w:hint="eastAsia" w:ascii="宋体" w:hAnsi="宋体" w:cs="仿宋"/>
          <w:bCs/>
          <w:color w:val="auto"/>
          <w:kern w:val="0"/>
          <w:sz w:val="24"/>
        </w:rPr>
        <w:t>委员会服务。</w:t>
      </w:r>
    </w:p>
    <w:p w14:paraId="3DCA7C5C">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3.2工作小组承担保管</w:t>
      </w:r>
      <w:r>
        <w:rPr>
          <w:rFonts w:hint="eastAsia" w:cs="仿宋"/>
          <w:bCs/>
          <w:color w:val="auto"/>
          <w:kern w:val="0"/>
          <w:sz w:val="24"/>
          <w:lang w:val="en-US" w:eastAsia="zh-CN"/>
        </w:rPr>
        <w:t>谈判</w:t>
      </w:r>
      <w:r>
        <w:rPr>
          <w:rFonts w:hint="eastAsia" w:ascii="宋体" w:hAnsi="宋体" w:cs="仿宋"/>
          <w:bCs/>
          <w:color w:val="auto"/>
          <w:kern w:val="0"/>
          <w:sz w:val="24"/>
        </w:rPr>
        <w:t>文件、</w:t>
      </w:r>
      <w:r>
        <w:rPr>
          <w:rFonts w:hint="eastAsia" w:cs="仿宋"/>
          <w:bCs/>
          <w:color w:val="auto"/>
          <w:kern w:val="0"/>
          <w:sz w:val="24"/>
          <w:lang w:val="en-US" w:eastAsia="zh-CN"/>
        </w:rPr>
        <w:t>响应</w:t>
      </w:r>
      <w:r>
        <w:rPr>
          <w:rFonts w:hint="eastAsia" w:ascii="宋体" w:hAnsi="宋体" w:cs="仿宋"/>
          <w:bCs/>
          <w:color w:val="auto"/>
          <w:kern w:val="0"/>
          <w:sz w:val="24"/>
        </w:rPr>
        <w:t>文件、发放</w:t>
      </w:r>
      <w:r>
        <w:rPr>
          <w:rFonts w:hint="eastAsia" w:cs="仿宋"/>
          <w:bCs/>
          <w:color w:val="auto"/>
          <w:kern w:val="0"/>
          <w:sz w:val="24"/>
          <w:lang w:eastAsia="zh-CN"/>
        </w:rPr>
        <w:t>评审</w:t>
      </w:r>
      <w:r>
        <w:rPr>
          <w:rFonts w:hint="eastAsia" w:ascii="宋体" w:hAnsi="宋体" w:cs="仿宋"/>
          <w:bCs/>
          <w:color w:val="auto"/>
          <w:kern w:val="0"/>
          <w:sz w:val="24"/>
        </w:rPr>
        <w:t>资料、</w:t>
      </w:r>
      <w:r>
        <w:rPr>
          <w:rFonts w:hint="eastAsia" w:cs="仿宋"/>
          <w:bCs/>
          <w:color w:val="auto"/>
          <w:kern w:val="0"/>
          <w:sz w:val="24"/>
          <w:lang w:val="en-US" w:eastAsia="zh-CN"/>
        </w:rPr>
        <w:t>响应</w:t>
      </w:r>
      <w:r>
        <w:rPr>
          <w:rFonts w:hint="eastAsia" w:ascii="宋体" w:hAnsi="宋体" w:cs="仿宋"/>
          <w:bCs/>
          <w:color w:val="auto"/>
          <w:kern w:val="0"/>
          <w:sz w:val="24"/>
        </w:rPr>
        <w:t>文件摘录汇总、基础数据对比及会议服务。</w:t>
      </w:r>
    </w:p>
    <w:p w14:paraId="05AF7427">
      <w:pPr>
        <w:spacing w:line="360" w:lineRule="auto"/>
        <w:rPr>
          <w:rFonts w:ascii="宋体" w:hAnsi="宋体" w:cs="仿宋"/>
          <w:bCs/>
          <w:color w:val="auto"/>
          <w:kern w:val="0"/>
          <w:sz w:val="24"/>
        </w:rPr>
      </w:pPr>
      <w:r>
        <w:rPr>
          <w:rFonts w:hint="eastAsia" w:ascii="宋体" w:hAnsi="宋体" w:cs="仿宋"/>
          <w:bCs/>
          <w:color w:val="auto"/>
          <w:kern w:val="0"/>
          <w:sz w:val="24"/>
        </w:rPr>
        <w:t>四、</w:t>
      </w:r>
      <w:r>
        <w:rPr>
          <w:rFonts w:hint="eastAsia" w:cs="仿宋"/>
          <w:bCs/>
          <w:color w:val="auto"/>
          <w:kern w:val="0"/>
          <w:sz w:val="24"/>
          <w:lang w:eastAsia="zh-CN"/>
        </w:rPr>
        <w:t>评审</w:t>
      </w:r>
      <w:r>
        <w:rPr>
          <w:rFonts w:hint="eastAsia" w:ascii="宋体" w:hAnsi="宋体" w:cs="仿宋"/>
          <w:bCs/>
          <w:color w:val="auto"/>
          <w:kern w:val="0"/>
          <w:sz w:val="24"/>
        </w:rPr>
        <w:t>程序及内容</w:t>
      </w:r>
    </w:p>
    <w:p w14:paraId="402FF857">
      <w:pPr>
        <w:spacing w:line="360" w:lineRule="auto"/>
        <w:ind w:firstLine="420" w:firstLineChars="200"/>
        <w:rPr>
          <w:rFonts w:hint="eastAsia" w:cs="仿宋"/>
          <w:bCs/>
          <w:color w:val="auto"/>
        </w:rPr>
      </w:pPr>
      <w:r>
        <w:rPr>
          <w:rFonts w:hint="eastAsia" w:cs="仿宋"/>
          <w:bCs/>
          <w:color w:val="auto"/>
        </w:rPr>
        <w:t>1、</w:t>
      </w:r>
      <w:r>
        <w:rPr>
          <w:rFonts w:hint="eastAsia" w:cs="仿宋"/>
          <w:bCs/>
          <w:color w:val="auto"/>
          <w:lang w:val="en-US" w:eastAsia="zh-CN"/>
        </w:rPr>
        <w:t>评审</w:t>
      </w:r>
      <w:r>
        <w:rPr>
          <w:rFonts w:hint="eastAsia" w:cs="仿宋"/>
          <w:bCs/>
          <w:color w:val="auto"/>
        </w:rPr>
        <w:t>方法：由资格审查、综合</w:t>
      </w:r>
      <w:r>
        <w:rPr>
          <w:rFonts w:hint="eastAsia" w:cs="仿宋"/>
          <w:bCs/>
          <w:color w:val="auto"/>
          <w:lang w:val="en-US" w:eastAsia="zh-CN"/>
        </w:rPr>
        <w:t>评估</w:t>
      </w:r>
      <w:r>
        <w:rPr>
          <w:rFonts w:hint="eastAsia" w:cs="仿宋"/>
          <w:bCs/>
          <w:color w:val="auto"/>
        </w:rPr>
        <w:t>两部分。</w:t>
      </w:r>
    </w:p>
    <w:p w14:paraId="18BE80BA">
      <w:pPr>
        <w:spacing w:line="360" w:lineRule="auto"/>
        <w:ind w:firstLine="420" w:firstLineChars="200"/>
        <w:rPr>
          <w:rFonts w:cs="仿宋"/>
          <w:bCs/>
          <w:color w:val="auto"/>
        </w:rPr>
      </w:pPr>
      <w:r>
        <w:rPr>
          <w:rFonts w:hint="eastAsia" w:cs="仿宋"/>
          <w:bCs/>
          <w:color w:val="auto"/>
        </w:rPr>
        <w:t>2、资格审查：按对</w:t>
      </w:r>
      <w:r>
        <w:rPr>
          <w:rFonts w:hint="eastAsia" w:cs="仿宋"/>
          <w:bCs/>
          <w:color w:val="auto"/>
          <w:lang w:val="en-US" w:eastAsia="zh-CN"/>
        </w:rPr>
        <w:t>供应商</w:t>
      </w:r>
      <w:r>
        <w:rPr>
          <w:rFonts w:hint="eastAsia" w:cs="仿宋"/>
          <w:bCs/>
          <w:color w:val="auto"/>
        </w:rPr>
        <w:t>的资格要求、缴纳保证金等情况进行</w:t>
      </w:r>
      <w:r>
        <w:rPr>
          <w:rFonts w:hint="eastAsia" w:cs="仿宋"/>
          <w:bCs/>
          <w:color w:val="auto"/>
          <w:lang w:val="en-US" w:eastAsia="zh-CN"/>
        </w:rPr>
        <w:t>评审</w:t>
      </w:r>
      <w:r>
        <w:rPr>
          <w:rFonts w:hint="eastAsia" w:cs="仿宋"/>
          <w:bCs/>
          <w:color w:val="auto"/>
        </w:rPr>
        <w:t>。详见《资格审查表》。</w:t>
      </w:r>
    </w:p>
    <w:p w14:paraId="6E8FFC80">
      <w:pPr>
        <w:spacing w:line="360" w:lineRule="auto"/>
        <w:ind w:firstLine="420" w:firstLineChars="200"/>
        <w:rPr>
          <w:rFonts w:ascii="宋体" w:hAnsi="宋体" w:cs="仿宋"/>
          <w:bCs/>
          <w:color w:val="auto"/>
          <w:kern w:val="0"/>
          <w:sz w:val="24"/>
        </w:rPr>
      </w:pPr>
      <w:r>
        <w:rPr>
          <w:rFonts w:hint="eastAsia" w:cs="仿宋"/>
          <w:bCs/>
          <w:color w:val="auto"/>
        </w:rPr>
        <w:t>3、综合</w:t>
      </w:r>
      <w:r>
        <w:rPr>
          <w:rFonts w:hint="eastAsia" w:cs="仿宋"/>
          <w:bCs/>
          <w:color w:val="auto"/>
          <w:lang w:val="en-US" w:eastAsia="zh-CN"/>
        </w:rPr>
        <w:t>评估</w:t>
      </w:r>
      <w:r>
        <w:rPr>
          <w:rFonts w:hint="eastAsia" w:cs="仿宋"/>
          <w:bCs/>
          <w:color w:val="auto"/>
        </w:rPr>
        <w:t>：通过资格审查后，根据</w:t>
      </w:r>
      <w:r>
        <w:rPr>
          <w:rFonts w:hint="eastAsia" w:cs="仿宋"/>
          <w:bCs/>
          <w:color w:val="auto"/>
          <w:lang w:val="en-US" w:eastAsia="zh-CN"/>
        </w:rPr>
        <w:t>供应商</w:t>
      </w:r>
      <w:r>
        <w:rPr>
          <w:rFonts w:hint="eastAsia" w:cs="仿宋"/>
          <w:bCs/>
          <w:color w:val="auto"/>
        </w:rPr>
        <w:t>的商务、技术和价格等进行综合</w:t>
      </w:r>
      <w:r>
        <w:rPr>
          <w:rFonts w:hint="eastAsia" w:cs="仿宋"/>
          <w:bCs/>
          <w:color w:val="auto"/>
          <w:lang w:val="en-US" w:eastAsia="zh-CN"/>
        </w:rPr>
        <w:t>评估</w:t>
      </w:r>
      <w:r>
        <w:rPr>
          <w:rFonts w:hint="eastAsia" w:cs="仿宋"/>
          <w:bCs/>
          <w:color w:val="auto"/>
        </w:rPr>
        <w:t>。</w:t>
      </w:r>
    </w:p>
    <w:p w14:paraId="3BBF2C00">
      <w:pPr>
        <w:spacing w:line="360" w:lineRule="auto"/>
        <w:rPr>
          <w:rFonts w:ascii="宋体" w:hAnsi="宋体" w:cs="仿宋"/>
          <w:bCs/>
          <w:color w:val="auto"/>
          <w:kern w:val="0"/>
          <w:sz w:val="24"/>
        </w:rPr>
      </w:pPr>
      <w:r>
        <w:rPr>
          <w:rFonts w:hint="eastAsia" w:ascii="宋体" w:hAnsi="宋体" w:cs="仿宋"/>
          <w:bCs/>
          <w:color w:val="auto"/>
          <w:kern w:val="0"/>
          <w:sz w:val="24"/>
        </w:rPr>
        <w:t>五、</w:t>
      </w:r>
      <w:r>
        <w:rPr>
          <w:rFonts w:hint="eastAsia" w:cs="仿宋"/>
          <w:bCs/>
          <w:color w:val="auto"/>
          <w:kern w:val="0"/>
          <w:sz w:val="24"/>
          <w:lang w:eastAsia="zh-CN"/>
        </w:rPr>
        <w:t>评审</w:t>
      </w:r>
      <w:r>
        <w:rPr>
          <w:rFonts w:hint="eastAsia" w:ascii="宋体" w:hAnsi="宋体" w:cs="仿宋"/>
          <w:bCs/>
          <w:color w:val="auto"/>
          <w:kern w:val="0"/>
          <w:sz w:val="24"/>
        </w:rPr>
        <w:t>报告</w:t>
      </w:r>
    </w:p>
    <w:p w14:paraId="243990CC">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1、</w:t>
      </w:r>
      <w:r>
        <w:rPr>
          <w:rFonts w:hint="eastAsia" w:cs="仿宋"/>
          <w:bCs/>
          <w:color w:val="auto"/>
          <w:kern w:val="0"/>
          <w:sz w:val="24"/>
          <w:lang w:eastAsia="zh-CN"/>
        </w:rPr>
        <w:t>评审</w:t>
      </w:r>
      <w:r>
        <w:rPr>
          <w:rFonts w:hint="eastAsia" w:ascii="宋体" w:hAnsi="宋体" w:cs="仿宋"/>
          <w:bCs/>
          <w:color w:val="auto"/>
          <w:kern w:val="0"/>
          <w:sz w:val="24"/>
        </w:rPr>
        <w:t>委员会根据</w:t>
      </w:r>
      <w:r>
        <w:rPr>
          <w:rFonts w:hint="eastAsia" w:cs="仿宋"/>
          <w:bCs/>
          <w:color w:val="auto"/>
          <w:kern w:val="0"/>
          <w:sz w:val="24"/>
          <w:lang w:eastAsia="zh-CN"/>
        </w:rPr>
        <w:t>评审</w:t>
      </w:r>
      <w:r>
        <w:rPr>
          <w:rFonts w:hint="eastAsia" w:ascii="宋体" w:hAnsi="宋体" w:cs="仿宋"/>
          <w:bCs/>
          <w:color w:val="auto"/>
          <w:kern w:val="0"/>
          <w:sz w:val="24"/>
        </w:rPr>
        <w:t>情况和结果，向</w:t>
      </w:r>
      <w:r>
        <w:rPr>
          <w:rFonts w:hint="eastAsia" w:cs="仿宋"/>
          <w:bCs/>
          <w:color w:val="auto"/>
          <w:kern w:val="0"/>
          <w:sz w:val="24"/>
          <w:lang w:eastAsia="zh-CN"/>
        </w:rPr>
        <w:t>采购人</w:t>
      </w:r>
      <w:r>
        <w:rPr>
          <w:rFonts w:hint="eastAsia" w:ascii="宋体" w:hAnsi="宋体" w:cs="仿宋"/>
          <w:bCs/>
          <w:color w:val="auto"/>
          <w:kern w:val="0"/>
          <w:sz w:val="24"/>
        </w:rPr>
        <w:t>提交</w:t>
      </w:r>
      <w:r>
        <w:rPr>
          <w:rFonts w:hint="eastAsia" w:cs="仿宋"/>
          <w:bCs/>
          <w:color w:val="auto"/>
          <w:kern w:val="0"/>
          <w:sz w:val="24"/>
          <w:lang w:eastAsia="zh-CN"/>
        </w:rPr>
        <w:t>评审</w:t>
      </w:r>
      <w:r>
        <w:rPr>
          <w:rFonts w:hint="eastAsia" w:ascii="宋体" w:hAnsi="宋体" w:cs="仿宋"/>
          <w:bCs/>
          <w:color w:val="auto"/>
          <w:kern w:val="0"/>
          <w:sz w:val="24"/>
        </w:rPr>
        <w:t>报告。</w:t>
      </w:r>
      <w:r>
        <w:rPr>
          <w:rFonts w:hint="eastAsia" w:cs="仿宋"/>
          <w:bCs/>
          <w:color w:val="auto"/>
          <w:kern w:val="0"/>
          <w:sz w:val="24"/>
          <w:lang w:eastAsia="zh-CN"/>
        </w:rPr>
        <w:t>评审</w:t>
      </w:r>
      <w:r>
        <w:rPr>
          <w:rFonts w:hint="eastAsia" w:ascii="宋体" w:hAnsi="宋体" w:cs="仿宋"/>
          <w:bCs/>
          <w:color w:val="auto"/>
          <w:kern w:val="0"/>
          <w:sz w:val="24"/>
        </w:rPr>
        <w:t>报告由</w:t>
      </w:r>
      <w:r>
        <w:rPr>
          <w:rFonts w:hint="eastAsia" w:cs="仿宋"/>
          <w:bCs/>
          <w:color w:val="auto"/>
          <w:kern w:val="0"/>
          <w:sz w:val="24"/>
          <w:lang w:eastAsia="zh-CN"/>
        </w:rPr>
        <w:t>评审</w:t>
      </w:r>
      <w:r>
        <w:rPr>
          <w:rFonts w:hint="eastAsia" w:ascii="宋体" w:hAnsi="宋体" w:cs="仿宋"/>
          <w:bCs/>
          <w:color w:val="auto"/>
          <w:kern w:val="0"/>
          <w:sz w:val="24"/>
        </w:rPr>
        <w:t>委员会起草，</w:t>
      </w:r>
      <w:r>
        <w:rPr>
          <w:rFonts w:hint="eastAsia" w:cs="仿宋"/>
          <w:bCs/>
          <w:color w:val="auto"/>
          <w:kern w:val="0"/>
          <w:sz w:val="24"/>
          <w:lang w:eastAsia="zh-CN"/>
        </w:rPr>
        <w:t>评审</w:t>
      </w:r>
      <w:r>
        <w:rPr>
          <w:rFonts w:hint="eastAsia" w:ascii="宋体" w:hAnsi="宋体" w:cs="仿宋"/>
          <w:bCs/>
          <w:color w:val="auto"/>
          <w:kern w:val="0"/>
          <w:sz w:val="24"/>
        </w:rPr>
        <w:t>委员会全体成员应在</w:t>
      </w:r>
      <w:r>
        <w:rPr>
          <w:rFonts w:hint="eastAsia" w:cs="仿宋"/>
          <w:bCs/>
          <w:color w:val="auto"/>
          <w:kern w:val="0"/>
          <w:sz w:val="24"/>
          <w:lang w:eastAsia="zh-CN"/>
        </w:rPr>
        <w:t>评审</w:t>
      </w:r>
      <w:r>
        <w:rPr>
          <w:rFonts w:hint="eastAsia" w:ascii="宋体" w:hAnsi="宋体" w:cs="仿宋"/>
          <w:bCs/>
          <w:color w:val="auto"/>
          <w:kern w:val="0"/>
          <w:sz w:val="24"/>
        </w:rPr>
        <w:t>报告上签字确认，</w:t>
      </w:r>
      <w:r>
        <w:rPr>
          <w:rFonts w:hint="eastAsia" w:cs="仿宋"/>
          <w:bCs/>
          <w:color w:val="auto"/>
          <w:kern w:val="0"/>
          <w:sz w:val="24"/>
          <w:lang w:eastAsia="zh-CN"/>
        </w:rPr>
        <w:t>评审</w:t>
      </w:r>
      <w:r>
        <w:rPr>
          <w:rFonts w:hint="eastAsia" w:ascii="宋体" w:hAnsi="宋体" w:cs="仿宋"/>
          <w:bCs/>
          <w:color w:val="auto"/>
          <w:kern w:val="0"/>
          <w:sz w:val="24"/>
        </w:rPr>
        <w:t>专家如有保留意见可以在</w:t>
      </w:r>
      <w:r>
        <w:rPr>
          <w:rFonts w:hint="eastAsia" w:cs="仿宋"/>
          <w:bCs/>
          <w:color w:val="auto"/>
          <w:kern w:val="0"/>
          <w:sz w:val="24"/>
          <w:lang w:eastAsia="zh-CN"/>
        </w:rPr>
        <w:t>评审</w:t>
      </w:r>
      <w:r>
        <w:rPr>
          <w:rFonts w:hint="eastAsia" w:ascii="宋体" w:hAnsi="宋体" w:cs="仿宋"/>
          <w:bCs/>
          <w:color w:val="auto"/>
          <w:kern w:val="0"/>
          <w:sz w:val="24"/>
        </w:rPr>
        <w:t>报告中阐明。</w:t>
      </w:r>
    </w:p>
    <w:p w14:paraId="028AB20B">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w:t>
      </w:r>
      <w:r>
        <w:rPr>
          <w:rFonts w:hint="eastAsia" w:cs="仿宋"/>
          <w:bCs/>
          <w:color w:val="auto"/>
          <w:kern w:val="0"/>
          <w:sz w:val="24"/>
          <w:lang w:eastAsia="zh-CN"/>
        </w:rPr>
        <w:t>评审</w:t>
      </w:r>
      <w:r>
        <w:rPr>
          <w:rFonts w:hint="eastAsia" w:ascii="宋体" w:hAnsi="宋体" w:cs="仿宋"/>
          <w:bCs/>
          <w:color w:val="auto"/>
          <w:kern w:val="0"/>
          <w:sz w:val="24"/>
        </w:rPr>
        <w:t>委员会在</w:t>
      </w:r>
      <w:r>
        <w:rPr>
          <w:rFonts w:hint="eastAsia" w:cs="仿宋"/>
          <w:bCs/>
          <w:color w:val="auto"/>
          <w:kern w:val="0"/>
          <w:sz w:val="24"/>
          <w:lang w:eastAsia="zh-CN"/>
        </w:rPr>
        <w:t>评审</w:t>
      </w:r>
      <w:r>
        <w:rPr>
          <w:rFonts w:hint="eastAsia" w:ascii="宋体" w:hAnsi="宋体" w:cs="仿宋"/>
          <w:bCs/>
          <w:color w:val="auto"/>
          <w:kern w:val="0"/>
          <w:sz w:val="24"/>
        </w:rPr>
        <w:t>报告中根据</w:t>
      </w:r>
      <w:r>
        <w:rPr>
          <w:rFonts w:hint="eastAsia" w:cs="仿宋"/>
          <w:bCs/>
          <w:color w:val="auto"/>
          <w:kern w:val="0"/>
          <w:sz w:val="24"/>
          <w:lang w:val="en-US" w:eastAsia="zh-CN"/>
        </w:rPr>
        <w:t>综合得分高低</w:t>
      </w:r>
      <w:r>
        <w:rPr>
          <w:rFonts w:hint="eastAsia" w:ascii="宋体" w:hAnsi="宋体" w:cs="仿宋"/>
          <w:bCs/>
          <w:color w:val="auto"/>
          <w:kern w:val="0"/>
          <w:sz w:val="24"/>
        </w:rPr>
        <w:t>排序推荐前一至</w:t>
      </w:r>
      <w:r>
        <w:rPr>
          <w:rFonts w:hint="eastAsia" w:cs="仿宋"/>
          <w:bCs/>
          <w:color w:val="auto"/>
          <w:kern w:val="0"/>
          <w:sz w:val="24"/>
          <w:lang w:val="en-US" w:eastAsia="zh-CN"/>
        </w:rPr>
        <w:t>二</w:t>
      </w:r>
      <w:r>
        <w:rPr>
          <w:rFonts w:hint="eastAsia" w:ascii="宋体" w:hAnsi="宋体" w:cs="仿宋"/>
          <w:bCs/>
          <w:color w:val="auto"/>
          <w:kern w:val="0"/>
          <w:sz w:val="24"/>
        </w:rPr>
        <w:t>名为</w:t>
      </w:r>
      <w:r>
        <w:rPr>
          <w:rFonts w:hint="eastAsia" w:cs="仿宋"/>
          <w:bCs/>
          <w:color w:val="auto"/>
          <w:kern w:val="0"/>
          <w:sz w:val="24"/>
          <w:lang w:val="en-US" w:eastAsia="zh-CN"/>
        </w:rPr>
        <w:t>成交</w:t>
      </w:r>
      <w:r>
        <w:rPr>
          <w:rFonts w:hint="eastAsia" w:ascii="宋体" w:hAnsi="宋体" w:cs="仿宋"/>
          <w:bCs/>
          <w:color w:val="auto"/>
          <w:kern w:val="0"/>
          <w:sz w:val="24"/>
        </w:rPr>
        <w:t>候选人。</w:t>
      </w:r>
    </w:p>
    <w:p w14:paraId="27A47EBC">
      <w:pPr>
        <w:spacing w:before="98" w:line="219" w:lineRule="auto"/>
        <w:ind w:left="4158"/>
        <w:rPr>
          <w:rFonts w:ascii="宋体" w:hAnsi="宋体" w:eastAsia="宋体" w:cs="宋体"/>
          <w:b/>
          <w:bCs/>
          <w:spacing w:val="-7"/>
          <w:sz w:val="30"/>
          <w:szCs w:val="30"/>
        </w:rPr>
      </w:pPr>
    </w:p>
    <w:p w14:paraId="37AC89E4">
      <w:pPr>
        <w:spacing w:before="98" w:line="219" w:lineRule="auto"/>
        <w:ind w:left="4158"/>
        <w:rPr>
          <w:rFonts w:ascii="宋体" w:hAnsi="宋体" w:eastAsia="宋体" w:cs="宋体"/>
          <w:b/>
          <w:bCs/>
          <w:spacing w:val="-7"/>
          <w:sz w:val="30"/>
          <w:szCs w:val="30"/>
        </w:rPr>
      </w:pPr>
    </w:p>
    <w:p w14:paraId="268516A9">
      <w:pPr>
        <w:spacing w:before="98" w:line="219" w:lineRule="auto"/>
        <w:ind w:left="4158"/>
        <w:rPr>
          <w:rFonts w:ascii="宋体" w:hAnsi="宋体" w:eastAsia="宋体" w:cs="宋体"/>
          <w:sz w:val="30"/>
          <w:szCs w:val="30"/>
        </w:rPr>
      </w:pPr>
      <w:r>
        <w:rPr>
          <w:rFonts w:ascii="宋体" w:hAnsi="宋体" w:eastAsia="宋体" w:cs="宋体"/>
          <w:b/>
          <w:bCs/>
          <w:spacing w:val="-7"/>
          <w:sz w:val="30"/>
          <w:szCs w:val="30"/>
        </w:rPr>
        <w:t>1.资格审查表</w:t>
      </w:r>
    </w:p>
    <w:p w14:paraId="31BC98D7">
      <w:pPr>
        <w:spacing w:before="143" w:line="211" w:lineRule="auto"/>
        <w:ind w:left="641"/>
        <w:rPr>
          <w:rFonts w:ascii="宋体" w:hAnsi="宋体" w:eastAsia="宋体" w:cs="宋体"/>
          <w:sz w:val="24"/>
          <w:szCs w:val="24"/>
        </w:rPr>
      </w:pPr>
      <w:r>
        <w:rPr>
          <w:rFonts w:ascii="宋体" w:hAnsi="宋体" w:eastAsia="宋体" w:cs="宋体"/>
          <w:spacing w:val="-5"/>
          <w:sz w:val="24"/>
          <w:szCs w:val="24"/>
        </w:rPr>
        <w:t>编号：</w:t>
      </w:r>
      <w:r>
        <w:rPr>
          <w:rFonts w:ascii="宋体" w:hAnsi="宋体" w:eastAsia="宋体" w:cs="宋体"/>
          <w:sz w:val="24"/>
          <w:szCs w:val="24"/>
        </w:rPr>
        <w:t xml:space="preserve">                 </w:t>
      </w:r>
      <w:r>
        <w:rPr>
          <w:rFonts w:ascii="宋体" w:hAnsi="宋体" w:eastAsia="宋体" w:cs="宋体"/>
          <w:spacing w:val="-5"/>
          <w:sz w:val="24"/>
          <w:szCs w:val="24"/>
        </w:rPr>
        <w:t>谈判时间：  年 月</w:t>
      </w:r>
      <w:r>
        <w:rPr>
          <w:rFonts w:ascii="宋体" w:hAnsi="宋体" w:eastAsia="宋体" w:cs="宋体"/>
          <w:spacing w:val="61"/>
          <w:sz w:val="24"/>
          <w:szCs w:val="24"/>
        </w:rPr>
        <w:t xml:space="preserve"> </w:t>
      </w:r>
      <w:r>
        <w:rPr>
          <w:rFonts w:ascii="宋体" w:hAnsi="宋体" w:eastAsia="宋体" w:cs="宋体"/>
          <w:spacing w:val="-5"/>
          <w:sz w:val="24"/>
          <w:szCs w:val="24"/>
        </w:rPr>
        <w:t>日</w:t>
      </w:r>
      <w:r>
        <w:rPr>
          <w:rFonts w:ascii="宋体" w:hAnsi="宋体" w:eastAsia="宋体" w:cs="宋体"/>
          <w:spacing w:val="3"/>
          <w:sz w:val="24"/>
          <w:szCs w:val="24"/>
        </w:rPr>
        <w:t xml:space="preserve">      </w:t>
      </w:r>
      <w:r>
        <w:rPr>
          <w:rFonts w:ascii="宋体" w:hAnsi="宋体" w:eastAsia="宋体" w:cs="宋体"/>
          <w:spacing w:val="-5"/>
          <w:sz w:val="24"/>
          <w:szCs w:val="24"/>
        </w:rPr>
        <w:t>审查日期：</w:t>
      </w:r>
    </w:p>
    <w:tbl>
      <w:tblPr>
        <w:tblStyle w:val="13"/>
        <w:tblW w:w="943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0"/>
        <w:gridCol w:w="1220"/>
        <w:gridCol w:w="1627"/>
        <w:gridCol w:w="957"/>
        <w:gridCol w:w="444"/>
        <w:gridCol w:w="819"/>
        <w:gridCol w:w="1631"/>
        <w:gridCol w:w="2181"/>
      </w:tblGrid>
      <w:tr w14:paraId="6431F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780" w:type="dxa"/>
            <w:gridSpan w:val="2"/>
            <w:vAlign w:val="top"/>
          </w:tcPr>
          <w:p w14:paraId="68DB8CD1">
            <w:pPr>
              <w:pStyle w:val="14"/>
              <w:spacing w:before="41" w:line="211" w:lineRule="auto"/>
              <w:ind w:left="409"/>
            </w:pPr>
            <w:r>
              <w:rPr>
                <w:spacing w:val="-3"/>
              </w:rPr>
              <w:t>谈判名称</w:t>
            </w:r>
          </w:p>
        </w:tc>
        <w:tc>
          <w:tcPr>
            <w:tcW w:w="7659" w:type="dxa"/>
            <w:gridSpan w:val="6"/>
            <w:vAlign w:val="top"/>
          </w:tcPr>
          <w:p w14:paraId="309B6A52">
            <w:pPr>
              <w:rPr>
                <w:rFonts w:ascii="Arial"/>
                <w:sz w:val="21"/>
              </w:rPr>
            </w:pPr>
          </w:p>
        </w:tc>
      </w:tr>
      <w:tr w14:paraId="4F849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780" w:type="dxa"/>
            <w:gridSpan w:val="2"/>
            <w:vAlign w:val="top"/>
          </w:tcPr>
          <w:p w14:paraId="169F0A15">
            <w:pPr>
              <w:pStyle w:val="14"/>
              <w:spacing w:before="31" w:line="212" w:lineRule="auto"/>
              <w:ind w:left="409"/>
            </w:pPr>
            <w:r>
              <w:rPr>
                <w:spacing w:val="-3"/>
              </w:rPr>
              <w:t>谈判内容</w:t>
            </w:r>
          </w:p>
        </w:tc>
        <w:tc>
          <w:tcPr>
            <w:tcW w:w="7659" w:type="dxa"/>
            <w:gridSpan w:val="6"/>
            <w:vAlign w:val="top"/>
          </w:tcPr>
          <w:p w14:paraId="0F2B4DFC">
            <w:pPr>
              <w:rPr>
                <w:rFonts w:ascii="Arial"/>
                <w:sz w:val="21"/>
              </w:rPr>
            </w:pPr>
          </w:p>
        </w:tc>
      </w:tr>
      <w:tr w14:paraId="22999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560" w:type="dxa"/>
            <w:textDirection w:val="tbRlV"/>
            <w:vAlign w:val="top"/>
          </w:tcPr>
          <w:p w14:paraId="7EE51D35">
            <w:pPr>
              <w:pStyle w:val="14"/>
              <w:spacing w:before="155" w:line="210" w:lineRule="auto"/>
              <w:ind w:left="33"/>
            </w:pPr>
            <w:r>
              <w:rPr>
                <w:spacing w:val="-1"/>
              </w:rPr>
              <w:t>序</w:t>
            </w:r>
            <w:r>
              <w:rPr>
                <w:spacing w:val="-47"/>
              </w:rPr>
              <w:t xml:space="preserve"> </w:t>
            </w:r>
            <w:r>
              <w:rPr>
                <w:spacing w:val="-1"/>
              </w:rPr>
              <w:t>号</w:t>
            </w:r>
          </w:p>
        </w:tc>
        <w:tc>
          <w:tcPr>
            <w:tcW w:w="2847" w:type="dxa"/>
            <w:gridSpan w:val="2"/>
            <w:vAlign w:val="top"/>
          </w:tcPr>
          <w:p w14:paraId="3F3D73A4">
            <w:pPr>
              <w:pStyle w:val="14"/>
              <w:spacing w:before="190" w:line="219" w:lineRule="auto"/>
              <w:ind w:left="938"/>
            </w:pPr>
            <w:r>
              <w:rPr>
                <w:spacing w:val="-2"/>
              </w:rPr>
              <w:t>报名单位</w:t>
            </w:r>
          </w:p>
        </w:tc>
        <w:tc>
          <w:tcPr>
            <w:tcW w:w="957" w:type="dxa"/>
            <w:vAlign w:val="top"/>
          </w:tcPr>
          <w:p w14:paraId="4BCB6973">
            <w:pPr>
              <w:pStyle w:val="14"/>
              <w:spacing w:before="34" w:line="225" w:lineRule="auto"/>
              <w:ind w:left="359" w:right="112" w:hanging="241"/>
            </w:pPr>
            <w:r>
              <w:rPr>
                <w:spacing w:val="-4"/>
              </w:rPr>
              <w:t>注册资</w:t>
            </w:r>
            <w:r>
              <w:rPr>
                <w:spacing w:val="1"/>
              </w:rPr>
              <w:t xml:space="preserve"> </w:t>
            </w:r>
            <w:r>
              <w:t>金</w:t>
            </w:r>
          </w:p>
        </w:tc>
        <w:tc>
          <w:tcPr>
            <w:tcW w:w="444" w:type="dxa"/>
            <w:textDirection w:val="tbRlV"/>
            <w:vAlign w:val="top"/>
          </w:tcPr>
          <w:p w14:paraId="4070DE1F">
            <w:pPr>
              <w:pStyle w:val="14"/>
              <w:spacing w:before="88" w:line="209" w:lineRule="auto"/>
              <w:ind w:left="33"/>
            </w:pPr>
            <w:r>
              <w:rPr>
                <w:spacing w:val="-1"/>
              </w:rPr>
              <w:t>业</w:t>
            </w:r>
            <w:r>
              <w:rPr>
                <w:spacing w:val="-47"/>
              </w:rPr>
              <w:t xml:space="preserve"> </w:t>
            </w:r>
            <w:r>
              <w:rPr>
                <w:spacing w:val="-1"/>
              </w:rPr>
              <w:t>绩</w:t>
            </w:r>
          </w:p>
        </w:tc>
        <w:tc>
          <w:tcPr>
            <w:tcW w:w="819" w:type="dxa"/>
            <w:vAlign w:val="top"/>
          </w:tcPr>
          <w:p w14:paraId="69922629">
            <w:pPr>
              <w:pStyle w:val="14"/>
              <w:spacing w:before="34" w:line="225" w:lineRule="auto"/>
              <w:ind w:left="293" w:right="161" w:hanging="120"/>
            </w:pPr>
            <w:r>
              <w:rPr>
                <w:spacing w:val="-6"/>
              </w:rPr>
              <w:t>联系</w:t>
            </w:r>
            <w:r>
              <w:t xml:space="preserve"> 人</w:t>
            </w:r>
          </w:p>
        </w:tc>
        <w:tc>
          <w:tcPr>
            <w:tcW w:w="1631" w:type="dxa"/>
            <w:vAlign w:val="top"/>
          </w:tcPr>
          <w:p w14:paraId="7991CCA4">
            <w:pPr>
              <w:pStyle w:val="14"/>
              <w:spacing w:before="190" w:line="221" w:lineRule="auto"/>
              <w:ind w:left="340"/>
            </w:pPr>
            <w:r>
              <w:rPr>
                <w:spacing w:val="-3"/>
              </w:rPr>
              <w:t>联系电话</w:t>
            </w:r>
          </w:p>
        </w:tc>
        <w:tc>
          <w:tcPr>
            <w:tcW w:w="2181" w:type="dxa"/>
            <w:vAlign w:val="top"/>
          </w:tcPr>
          <w:p w14:paraId="1E3C0B1C">
            <w:pPr>
              <w:pStyle w:val="14"/>
              <w:spacing w:before="189" w:line="221" w:lineRule="auto"/>
              <w:ind w:left="851"/>
            </w:pPr>
            <w:r>
              <w:rPr>
                <w:spacing w:val="-5"/>
              </w:rPr>
              <w:t>包号</w:t>
            </w:r>
          </w:p>
        </w:tc>
      </w:tr>
      <w:tr w14:paraId="5273B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472A0B5B">
            <w:pPr>
              <w:pStyle w:val="14"/>
              <w:spacing w:before="70" w:line="182" w:lineRule="auto"/>
              <w:ind w:left="236"/>
            </w:pPr>
            <w:r>
              <w:t>1</w:t>
            </w:r>
          </w:p>
        </w:tc>
        <w:tc>
          <w:tcPr>
            <w:tcW w:w="2847" w:type="dxa"/>
            <w:gridSpan w:val="2"/>
            <w:vAlign w:val="top"/>
          </w:tcPr>
          <w:p w14:paraId="692BF2A9">
            <w:pPr>
              <w:rPr>
                <w:rFonts w:ascii="Arial"/>
                <w:sz w:val="21"/>
              </w:rPr>
            </w:pPr>
          </w:p>
        </w:tc>
        <w:tc>
          <w:tcPr>
            <w:tcW w:w="957" w:type="dxa"/>
            <w:vAlign w:val="top"/>
          </w:tcPr>
          <w:p w14:paraId="6597C1E7">
            <w:pPr>
              <w:rPr>
                <w:rFonts w:ascii="Arial"/>
                <w:sz w:val="21"/>
              </w:rPr>
            </w:pPr>
          </w:p>
        </w:tc>
        <w:tc>
          <w:tcPr>
            <w:tcW w:w="444" w:type="dxa"/>
            <w:vAlign w:val="top"/>
          </w:tcPr>
          <w:p w14:paraId="1557475C">
            <w:pPr>
              <w:rPr>
                <w:rFonts w:ascii="Arial"/>
                <w:sz w:val="21"/>
              </w:rPr>
            </w:pPr>
          </w:p>
        </w:tc>
        <w:tc>
          <w:tcPr>
            <w:tcW w:w="819" w:type="dxa"/>
            <w:vAlign w:val="top"/>
          </w:tcPr>
          <w:p w14:paraId="4E03B070">
            <w:pPr>
              <w:rPr>
                <w:rFonts w:ascii="Arial"/>
                <w:sz w:val="21"/>
              </w:rPr>
            </w:pPr>
          </w:p>
        </w:tc>
        <w:tc>
          <w:tcPr>
            <w:tcW w:w="1631" w:type="dxa"/>
            <w:vAlign w:val="top"/>
          </w:tcPr>
          <w:p w14:paraId="4BF65A73">
            <w:pPr>
              <w:rPr>
                <w:rFonts w:ascii="Arial"/>
                <w:sz w:val="21"/>
              </w:rPr>
            </w:pPr>
          </w:p>
        </w:tc>
        <w:tc>
          <w:tcPr>
            <w:tcW w:w="2181" w:type="dxa"/>
            <w:vAlign w:val="top"/>
          </w:tcPr>
          <w:p w14:paraId="5FFDC72F">
            <w:pPr>
              <w:rPr>
                <w:rFonts w:ascii="Arial"/>
                <w:sz w:val="21"/>
              </w:rPr>
            </w:pPr>
          </w:p>
        </w:tc>
      </w:tr>
      <w:tr w14:paraId="079DF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14287590">
            <w:pPr>
              <w:pStyle w:val="14"/>
              <w:spacing w:before="70" w:line="182" w:lineRule="auto"/>
              <w:ind w:left="221"/>
            </w:pPr>
            <w:r>
              <w:t>2</w:t>
            </w:r>
          </w:p>
        </w:tc>
        <w:tc>
          <w:tcPr>
            <w:tcW w:w="2847" w:type="dxa"/>
            <w:gridSpan w:val="2"/>
            <w:vAlign w:val="top"/>
          </w:tcPr>
          <w:p w14:paraId="2440A8A8">
            <w:pPr>
              <w:rPr>
                <w:rFonts w:ascii="Arial"/>
                <w:sz w:val="21"/>
              </w:rPr>
            </w:pPr>
          </w:p>
        </w:tc>
        <w:tc>
          <w:tcPr>
            <w:tcW w:w="957" w:type="dxa"/>
            <w:vAlign w:val="top"/>
          </w:tcPr>
          <w:p w14:paraId="292E6806">
            <w:pPr>
              <w:rPr>
                <w:rFonts w:ascii="Arial"/>
                <w:sz w:val="21"/>
              </w:rPr>
            </w:pPr>
          </w:p>
        </w:tc>
        <w:tc>
          <w:tcPr>
            <w:tcW w:w="444" w:type="dxa"/>
            <w:vAlign w:val="top"/>
          </w:tcPr>
          <w:p w14:paraId="29EA19E8">
            <w:pPr>
              <w:rPr>
                <w:rFonts w:ascii="Arial"/>
                <w:sz w:val="21"/>
              </w:rPr>
            </w:pPr>
          </w:p>
        </w:tc>
        <w:tc>
          <w:tcPr>
            <w:tcW w:w="819" w:type="dxa"/>
            <w:vAlign w:val="top"/>
          </w:tcPr>
          <w:p w14:paraId="1BD13CE6">
            <w:pPr>
              <w:rPr>
                <w:rFonts w:ascii="Arial"/>
                <w:sz w:val="21"/>
              </w:rPr>
            </w:pPr>
          </w:p>
        </w:tc>
        <w:tc>
          <w:tcPr>
            <w:tcW w:w="1631" w:type="dxa"/>
            <w:vAlign w:val="top"/>
          </w:tcPr>
          <w:p w14:paraId="606E1BF0">
            <w:pPr>
              <w:rPr>
                <w:rFonts w:ascii="Arial"/>
                <w:sz w:val="21"/>
              </w:rPr>
            </w:pPr>
          </w:p>
        </w:tc>
        <w:tc>
          <w:tcPr>
            <w:tcW w:w="2181" w:type="dxa"/>
            <w:vAlign w:val="top"/>
          </w:tcPr>
          <w:p w14:paraId="5FCCDFD9">
            <w:pPr>
              <w:rPr>
                <w:rFonts w:ascii="Arial"/>
                <w:sz w:val="21"/>
              </w:rPr>
            </w:pPr>
          </w:p>
        </w:tc>
      </w:tr>
      <w:tr w14:paraId="33E2B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51E2A1DD">
            <w:pPr>
              <w:pStyle w:val="14"/>
              <w:spacing w:before="71" w:line="181" w:lineRule="auto"/>
              <w:ind w:left="223"/>
            </w:pPr>
            <w:r>
              <w:t>3</w:t>
            </w:r>
          </w:p>
        </w:tc>
        <w:tc>
          <w:tcPr>
            <w:tcW w:w="2847" w:type="dxa"/>
            <w:gridSpan w:val="2"/>
            <w:vAlign w:val="top"/>
          </w:tcPr>
          <w:p w14:paraId="532BA1BA">
            <w:pPr>
              <w:rPr>
                <w:rFonts w:ascii="Arial"/>
                <w:sz w:val="21"/>
              </w:rPr>
            </w:pPr>
          </w:p>
        </w:tc>
        <w:tc>
          <w:tcPr>
            <w:tcW w:w="957" w:type="dxa"/>
            <w:vAlign w:val="top"/>
          </w:tcPr>
          <w:p w14:paraId="0DAF4BBA">
            <w:pPr>
              <w:rPr>
                <w:rFonts w:ascii="Arial"/>
                <w:sz w:val="21"/>
              </w:rPr>
            </w:pPr>
          </w:p>
        </w:tc>
        <w:tc>
          <w:tcPr>
            <w:tcW w:w="444" w:type="dxa"/>
            <w:vAlign w:val="top"/>
          </w:tcPr>
          <w:p w14:paraId="098A1AA5">
            <w:pPr>
              <w:rPr>
                <w:rFonts w:ascii="Arial"/>
                <w:sz w:val="21"/>
              </w:rPr>
            </w:pPr>
          </w:p>
        </w:tc>
        <w:tc>
          <w:tcPr>
            <w:tcW w:w="819" w:type="dxa"/>
            <w:vAlign w:val="top"/>
          </w:tcPr>
          <w:p w14:paraId="6C57A7C6">
            <w:pPr>
              <w:rPr>
                <w:rFonts w:ascii="Arial"/>
                <w:sz w:val="21"/>
              </w:rPr>
            </w:pPr>
          </w:p>
        </w:tc>
        <w:tc>
          <w:tcPr>
            <w:tcW w:w="1631" w:type="dxa"/>
            <w:vAlign w:val="top"/>
          </w:tcPr>
          <w:p w14:paraId="52DCA763">
            <w:pPr>
              <w:rPr>
                <w:rFonts w:ascii="Arial"/>
                <w:sz w:val="21"/>
              </w:rPr>
            </w:pPr>
          </w:p>
        </w:tc>
        <w:tc>
          <w:tcPr>
            <w:tcW w:w="2181" w:type="dxa"/>
            <w:vAlign w:val="top"/>
          </w:tcPr>
          <w:p w14:paraId="266577C7">
            <w:pPr>
              <w:rPr>
                <w:rFonts w:ascii="Arial"/>
                <w:sz w:val="21"/>
              </w:rPr>
            </w:pPr>
          </w:p>
        </w:tc>
      </w:tr>
      <w:tr w14:paraId="49DC6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4631E196">
            <w:pPr>
              <w:pStyle w:val="14"/>
              <w:spacing w:before="70" w:line="182" w:lineRule="auto"/>
              <w:ind w:left="217"/>
            </w:pPr>
            <w:r>
              <w:t>4</w:t>
            </w:r>
          </w:p>
        </w:tc>
        <w:tc>
          <w:tcPr>
            <w:tcW w:w="2847" w:type="dxa"/>
            <w:gridSpan w:val="2"/>
            <w:vAlign w:val="top"/>
          </w:tcPr>
          <w:p w14:paraId="55AAC0D2">
            <w:pPr>
              <w:rPr>
                <w:rFonts w:ascii="Arial"/>
                <w:sz w:val="21"/>
              </w:rPr>
            </w:pPr>
          </w:p>
        </w:tc>
        <w:tc>
          <w:tcPr>
            <w:tcW w:w="957" w:type="dxa"/>
            <w:vAlign w:val="top"/>
          </w:tcPr>
          <w:p w14:paraId="2F739083">
            <w:pPr>
              <w:rPr>
                <w:rFonts w:ascii="Arial"/>
                <w:sz w:val="21"/>
              </w:rPr>
            </w:pPr>
          </w:p>
        </w:tc>
        <w:tc>
          <w:tcPr>
            <w:tcW w:w="444" w:type="dxa"/>
            <w:vAlign w:val="top"/>
          </w:tcPr>
          <w:p w14:paraId="4B48620C">
            <w:pPr>
              <w:rPr>
                <w:rFonts w:ascii="Arial"/>
                <w:sz w:val="21"/>
              </w:rPr>
            </w:pPr>
          </w:p>
        </w:tc>
        <w:tc>
          <w:tcPr>
            <w:tcW w:w="819" w:type="dxa"/>
            <w:vAlign w:val="top"/>
          </w:tcPr>
          <w:p w14:paraId="06EDA998">
            <w:pPr>
              <w:rPr>
                <w:rFonts w:ascii="Arial"/>
                <w:sz w:val="21"/>
              </w:rPr>
            </w:pPr>
          </w:p>
        </w:tc>
        <w:tc>
          <w:tcPr>
            <w:tcW w:w="1631" w:type="dxa"/>
            <w:vAlign w:val="top"/>
          </w:tcPr>
          <w:p w14:paraId="3B1C3D53">
            <w:pPr>
              <w:rPr>
                <w:rFonts w:ascii="Arial"/>
                <w:sz w:val="21"/>
              </w:rPr>
            </w:pPr>
          </w:p>
        </w:tc>
        <w:tc>
          <w:tcPr>
            <w:tcW w:w="2181" w:type="dxa"/>
            <w:vAlign w:val="top"/>
          </w:tcPr>
          <w:p w14:paraId="5C0BA291">
            <w:pPr>
              <w:rPr>
                <w:rFonts w:ascii="Arial"/>
                <w:sz w:val="21"/>
              </w:rPr>
            </w:pPr>
          </w:p>
        </w:tc>
      </w:tr>
      <w:tr w14:paraId="4305F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9439" w:type="dxa"/>
            <w:gridSpan w:val="8"/>
            <w:vAlign w:val="top"/>
          </w:tcPr>
          <w:p w14:paraId="2342F3D6">
            <w:pPr>
              <w:pStyle w:val="14"/>
              <w:spacing w:before="31" w:line="212" w:lineRule="auto"/>
              <w:ind w:left="3771"/>
            </w:pPr>
            <w:r>
              <w:rPr>
                <w:spacing w:val="-3"/>
              </w:rPr>
              <w:t>资质审查情况说明</w:t>
            </w:r>
          </w:p>
        </w:tc>
      </w:tr>
      <w:tr w14:paraId="634C9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4" w:hRule="atLeast"/>
        </w:trPr>
        <w:tc>
          <w:tcPr>
            <w:tcW w:w="9439" w:type="dxa"/>
            <w:gridSpan w:val="8"/>
            <w:vAlign w:val="top"/>
          </w:tcPr>
          <w:p w14:paraId="27DE68C9">
            <w:pPr>
              <w:pStyle w:val="14"/>
              <w:spacing w:before="34" w:line="219" w:lineRule="auto"/>
              <w:ind w:left="124"/>
            </w:pPr>
            <w:r>
              <w:rPr>
                <w:spacing w:val="-1"/>
              </w:rPr>
              <w:t>（资质、业绩、技术、能力，谈判保证金等方面）</w:t>
            </w:r>
          </w:p>
        </w:tc>
      </w:tr>
      <w:tr w14:paraId="6DE8C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9" w:hRule="atLeast"/>
        </w:trPr>
        <w:tc>
          <w:tcPr>
            <w:tcW w:w="1780" w:type="dxa"/>
            <w:gridSpan w:val="2"/>
            <w:tcBorders>
              <w:bottom w:val="single" w:color="000000" w:sz="2" w:space="0"/>
            </w:tcBorders>
            <w:vAlign w:val="top"/>
          </w:tcPr>
          <w:p w14:paraId="55DA7716">
            <w:pPr>
              <w:spacing w:line="309" w:lineRule="auto"/>
              <w:rPr>
                <w:rFonts w:ascii="Arial"/>
                <w:sz w:val="21"/>
              </w:rPr>
            </w:pPr>
          </w:p>
          <w:p w14:paraId="339D535B">
            <w:pPr>
              <w:spacing w:line="310" w:lineRule="auto"/>
              <w:rPr>
                <w:rFonts w:ascii="Arial"/>
                <w:sz w:val="21"/>
              </w:rPr>
            </w:pPr>
          </w:p>
          <w:p w14:paraId="101B5DFC">
            <w:pPr>
              <w:pStyle w:val="14"/>
              <w:spacing w:before="78" w:line="219" w:lineRule="auto"/>
              <w:ind w:left="180"/>
            </w:pPr>
            <w:r>
              <w:rPr>
                <w:spacing w:val="-4"/>
              </w:rPr>
              <w:t>资格审查人员</w:t>
            </w:r>
          </w:p>
        </w:tc>
        <w:tc>
          <w:tcPr>
            <w:tcW w:w="7659" w:type="dxa"/>
            <w:gridSpan w:val="6"/>
            <w:tcBorders>
              <w:bottom w:val="single" w:color="000000" w:sz="2" w:space="0"/>
            </w:tcBorders>
            <w:vAlign w:val="top"/>
          </w:tcPr>
          <w:p w14:paraId="25AA899F">
            <w:pPr>
              <w:rPr>
                <w:rFonts w:ascii="Arial"/>
                <w:sz w:val="21"/>
              </w:rPr>
            </w:pPr>
          </w:p>
        </w:tc>
      </w:tr>
      <w:tr w14:paraId="41EE3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780" w:type="dxa"/>
            <w:gridSpan w:val="2"/>
            <w:tcBorders>
              <w:top w:val="single" w:color="000000" w:sz="2" w:space="0"/>
              <w:left w:val="single" w:color="000000" w:sz="2" w:space="0"/>
              <w:bottom w:val="single" w:color="000000" w:sz="2" w:space="0"/>
              <w:right w:val="single" w:color="000000" w:sz="2" w:space="0"/>
            </w:tcBorders>
            <w:vAlign w:val="top"/>
          </w:tcPr>
          <w:p w14:paraId="078E0362">
            <w:pPr>
              <w:pStyle w:val="14"/>
              <w:spacing w:before="174" w:line="221" w:lineRule="auto"/>
              <w:ind w:left="455"/>
              <w:rPr>
                <w:sz w:val="22"/>
                <w:szCs w:val="22"/>
              </w:rPr>
            </w:pPr>
            <w:r>
              <w:rPr>
                <w:spacing w:val="-3"/>
                <w:sz w:val="22"/>
                <w:szCs w:val="22"/>
              </w:rPr>
              <w:t>工作人员</w:t>
            </w:r>
          </w:p>
        </w:tc>
        <w:tc>
          <w:tcPr>
            <w:tcW w:w="7659" w:type="dxa"/>
            <w:gridSpan w:val="6"/>
            <w:tcBorders>
              <w:top w:val="single" w:color="000000" w:sz="2" w:space="0"/>
              <w:left w:val="single" w:color="000000" w:sz="2" w:space="0"/>
              <w:bottom w:val="single" w:color="000000" w:sz="2" w:space="0"/>
              <w:right w:val="single" w:color="000000" w:sz="2" w:space="0"/>
            </w:tcBorders>
            <w:vAlign w:val="top"/>
          </w:tcPr>
          <w:p w14:paraId="36660C2D">
            <w:pPr>
              <w:rPr>
                <w:rFonts w:ascii="Arial"/>
                <w:sz w:val="21"/>
              </w:rPr>
            </w:pPr>
          </w:p>
        </w:tc>
      </w:tr>
    </w:tbl>
    <w:p w14:paraId="323A3F0F">
      <w:pPr>
        <w:pStyle w:val="7"/>
      </w:pPr>
    </w:p>
    <w:p w14:paraId="1B2D6D25">
      <w:pPr>
        <w:sectPr>
          <w:footerReference r:id="rId8" w:type="default"/>
          <w:pgSz w:w="11906" w:h="16839"/>
          <w:pgMar w:top="1431" w:right="1526" w:bottom="1156" w:left="925" w:header="0" w:footer="994" w:gutter="0"/>
          <w:cols w:space="720" w:num="1"/>
        </w:sectPr>
      </w:pPr>
    </w:p>
    <w:p w14:paraId="7D9FCFB5">
      <w:pPr>
        <w:spacing w:before="148" w:line="219" w:lineRule="auto"/>
        <w:ind w:left="2704"/>
        <w:outlineLvl w:val="0"/>
        <w:rPr>
          <w:rFonts w:ascii="宋体" w:hAnsi="宋体" w:eastAsia="宋体" w:cs="宋体"/>
          <w:sz w:val="30"/>
          <w:szCs w:val="30"/>
        </w:rPr>
      </w:pPr>
      <w:r>
        <w:rPr>
          <w:rFonts w:ascii="宋体" w:hAnsi="宋体" w:eastAsia="宋体" w:cs="宋体"/>
          <w:b/>
          <w:bCs/>
          <w:spacing w:val="-4"/>
          <w:sz w:val="30"/>
          <w:szCs w:val="30"/>
        </w:rPr>
        <w:t>2.</w:t>
      </w:r>
      <w:r>
        <w:rPr>
          <w:rFonts w:ascii="宋体" w:hAnsi="宋体" w:eastAsia="宋体" w:cs="宋体"/>
          <w:spacing w:val="-4"/>
          <w:sz w:val="30"/>
          <w:szCs w:val="30"/>
        </w:rPr>
        <w:t xml:space="preserve"> </w:t>
      </w:r>
      <w:r>
        <w:rPr>
          <w:rFonts w:ascii="宋体" w:hAnsi="宋体" w:eastAsia="宋体" w:cs="宋体"/>
          <w:b/>
          <w:bCs/>
          <w:spacing w:val="-4"/>
          <w:sz w:val="30"/>
          <w:szCs w:val="30"/>
        </w:rPr>
        <w:t>商务和技术评分表</w:t>
      </w:r>
    </w:p>
    <w:tbl>
      <w:tblPr>
        <w:tblStyle w:val="11"/>
        <w:tblW w:w="990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900"/>
        <w:gridCol w:w="6120"/>
      </w:tblGrid>
      <w:tr w14:paraId="02C1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880" w:type="dxa"/>
            <w:tcBorders>
              <w:top w:val="single" w:color="auto" w:sz="4" w:space="0"/>
              <w:left w:val="single" w:color="auto" w:sz="4" w:space="0"/>
              <w:bottom w:val="single" w:color="auto" w:sz="4" w:space="0"/>
              <w:right w:val="single" w:color="auto" w:sz="4" w:space="0"/>
            </w:tcBorders>
            <w:noWrap w:val="0"/>
            <w:vAlign w:val="center"/>
          </w:tcPr>
          <w:p w14:paraId="104C6767">
            <w:pPr>
              <w:pStyle w:val="15"/>
              <w:tabs>
                <w:tab w:val="left" w:pos="2342"/>
              </w:tabs>
              <w:jc w:val="both"/>
              <w:rPr>
                <w:rFonts w:ascii="Times New Roman" w:hAnsi="Times New Roman" w:eastAsia="黑体"/>
                <w:b w:val="0"/>
                <w:bCs w:val="0"/>
                <w:color w:val="000000"/>
              </w:rPr>
            </w:pPr>
            <w:r>
              <w:rPr>
                <w:rFonts w:ascii="Arial" w:hAnsi="Arial" w:eastAsia="黑体"/>
                <w:b w:val="0"/>
                <w:bCs w:val="0"/>
              </w:rPr>
              <w:tab/>
            </w:r>
            <w:r>
              <w:rPr>
                <w:rFonts w:ascii="Times New Roman" w:hAnsi="Times New Roman" w:eastAsia="黑体"/>
                <w:b w:val="0"/>
                <w:bCs w:val="0"/>
                <w:color w:val="000000"/>
              </w:rPr>
              <w:t>项目</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88E1EFB">
            <w:pPr>
              <w:pStyle w:val="17"/>
              <w:spacing w:line="300" w:lineRule="auto"/>
              <w:ind w:firstLine="105" w:firstLineChars="50"/>
              <w:jc w:val="center"/>
              <w:rPr>
                <w:rFonts w:ascii="Times New Roman" w:hAnsi="Times New Roman"/>
                <w:color w:val="000000"/>
                <w:kern w:val="0"/>
              </w:rPr>
            </w:pPr>
            <w:r>
              <w:rPr>
                <w:rFonts w:ascii="Times New Roman" w:hAnsi="Times New Roman"/>
                <w:color w:val="000000"/>
                <w:kern w:val="0"/>
              </w:rPr>
              <w:t>分值</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78CAB600">
            <w:pPr>
              <w:pStyle w:val="17"/>
              <w:spacing w:line="300" w:lineRule="auto"/>
              <w:ind w:firstLine="1890" w:firstLineChars="900"/>
              <w:rPr>
                <w:rFonts w:ascii="Times New Roman" w:hAnsi="Times New Roman"/>
                <w:color w:val="000000"/>
                <w:kern w:val="0"/>
              </w:rPr>
            </w:pPr>
            <w:r>
              <w:rPr>
                <w:rFonts w:ascii="Times New Roman" w:hAnsi="Times New Roman"/>
                <w:color w:val="000000"/>
                <w:kern w:val="0"/>
              </w:rPr>
              <w:t>评分标准</w:t>
            </w:r>
          </w:p>
        </w:tc>
      </w:tr>
      <w:tr w14:paraId="4666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2880" w:type="dxa"/>
            <w:tcBorders>
              <w:top w:val="single" w:color="auto" w:sz="4" w:space="0"/>
              <w:left w:val="single" w:color="auto" w:sz="4" w:space="0"/>
              <w:bottom w:val="single" w:color="auto" w:sz="4" w:space="0"/>
              <w:right w:val="single" w:color="auto" w:sz="4" w:space="0"/>
            </w:tcBorders>
            <w:noWrap w:val="0"/>
            <w:vAlign w:val="center"/>
          </w:tcPr>
          <w:p w14:paraId="163FE3CA">
            <w:pPr>
              <w:pStyle w:val="18"/>
              <w:spacing w:line="300" w:lineRule="auto"/>
              <w:jc w:val="center"/>
              <w:rPr>
                <w:color w:val="000000"/>
                <w:szCs w:val="21"/>
              </w:rPr>
            </w:pPr>
          </w:p>
          <w:p w14:paraId="3FE65B75">
            <w:pPr>
              <w:pStyle w:val="18"/>
              <w:spacing w:line="300" w:lineRule="auto"/>
              <w:jc w:val="center"/>
              <w:rPr>
                <w:color w:val="000000"/>
                <w:szCs w:val="21"/>
              </w:rPr>
            </w:pPr>
            <w:r>
              <w:rPr>
                <w:color w:val="000000"/>
                <w:szCs w:val="21"/>
              </w:rPr>
              <w:t>施工资质及业绩</w:t>
            </w:r>
          </w:p>
          <w:p w14:paraId="6D240AF9">
            <w:pPr>
              <w:pStyle w:val="18"/>
              <w:spacing w:line="300" w:lineRule="auto"/>
              <w:jc w:val="center"/>
              <w:rPr>
                <w:color w:val="000000"/>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431A77B">
            <w:pPr>
              <w:pStyle w:val="18"/>
              <w:spacing w:line="300" w:lineRule="auto"/>
              <w:jc w:val="center"/>
              <w:rPr>
                <w:bCs/>
                <w:color w:val="000000"/>
                <w:szCs w:val="21"/>
              </w:rPr>
            </w:pPr>
            <w:r>
              <w:rPr>
                <w:rFonts w:hint="eastAsia" w:eastAsia="宋体"/>
                <w:bCs/>
                <w:color w:val="000000"/>
                <w:szCs w:val="21"/>
                <w:lang w:val="en-US" w:eastAsia="zh-CN"/>
              </w:rPr>
              <w:t>5</w:t>
            </w:r>
            <w:r>
              <w:rPr>
                <w:bCs/>
                <w:color w:val="000000"/>
                <w:szCs w:val="21"/>
              </w:rPr>
              <w:t>分</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05CF6722">
            <w:pPr>
              <w:pStyle w:val="18"/>
              <w:numPr>
                <w:ilvl w:val="0"/>
                <w:numId w:val="0"/>
              </w:numPr>
              <w:spacing w:line="300" w:lineRule="auto"/>
              <w:ind w:leftChars="0"/>
              <w:rPr>
                <w:color w:val="000000"/>
                <w:szCs w:val="21"/>
              </w:rPr>
            </w:pPr>
            <w:r>
              <w:rPr>
                <w:rFonts w:hint="eastAsia" w:eastAsia="宋体"/>
                <w:color w:val="000000"/>
                <w:szCs w:val="21"/>
                <w:lang w:val="en-US" w:eastAsia="zh-CN"/>
              </w:rPr>
              <w:t>1.</w:t>
            </w:r>
            <w:r>
              <w:rPr>
                <w:color w:val="000000"/>
                <w:szCs w:val="21"/>
              </w:rPr>
              <w:t>满足</w:t>
            </w:r>
            <w:r>
              <w:rPr>
                <w:rFonts w:hint="eastAsia"/>
                <w:color w:val="000000"/>
                <w:szCs w:val="21"/>
                <w:lang w:val="en-US" w:eastAsia="zh-CN"/>
              </w:rPr>
              <w:t>谈判</w:t>
            </w:r>
            <w:r>
              <w:rPr>
                <w:color w:val="000000"/>
                <w:szCs w:val="21"/>
              </w:rPr>
              <w:t>资质要求的得1分。</w:t>
            </w:r>
          </w:p>
          <w:p w14:paraId="0A6278DC">
            <w:pPr>
              <w:pStyle w:val="18"/>
              <w:numPr>
                <w:ilvl w:val="0"/>
                <w:numId w:val="0"/>
              </w:numPr>
              <w:spacing w:line="300" w:lineRule="auto"/>
              <w:ind w:leftChars="0"/>
              <w:rPr>
                <w:color w:val="000000"/>
                <w:szCs w:val="21"/>
              </w:rPr>
            </w:pPr>
            <w:r>
              <w:rPr>
                <w:rFonts w:hint="eastAsia" w:eastAsia="宋体"/>
                <w:color w:val="000000"/>
                <w:szCs w:val="21"/>
                <w:lang w:val="en-US" w:eastAsia="zh-CN"/>
              </w:rPr>
              <w:t>2.</w:t>
            </w:r>
            <w:r>
              <w:rPr>
                <w:color w:val="000000"/>
                <w:szCs w:val="21"/>
              </w:rPr>
              <w:t>近三年（</w:t>
            </w:r>
            <w:r>
              <w:rPr>
                <w:rFonts w:hint="eastAsia"/>
                <w:color w:val="000000"/>
                <w:szCs w:val="21"/>
              </w:rPr>
              <w:t>202</w:t>
            </w:r>
            <w:r>
              <w:rPr>
                <w:rFonts w:hint="eastAsia" w:eastAsia="宋体"/>
                <w:color w:val="000000"/>
                <w:szCs w:val="21"/>
                <w:lang w:val="en-US" w:eastAsia="zh-CN"/>
              </w:rPr>
              <w:t>2</w:t>
            </w:r>
            <w:r>
              <w:rPr>
                <w:color w:val="000000"/>
                <w:szCs w:val="21"/>
              </w:rPr>
              <w:t>年1月1日至开标日期）承担过类似工程项目的每项得1分，最多得</w:t>
            </w:r>
            <w:r>
              <w:rPr>
                <w:rFonts w:hint="eastAsia" w:eastAsia="宋体"/>
                <w:color w:val="000000"/>
                <w:szCs w:val="21"/>
                <w:lang w:val="en-US" w:eastAsia="zh-CN"/>
              </w:rPr>
              <w:t>4</w:t>
            </w:r>
            <w:r>
              <w:rPr>
                <w:color w:val="000000"/>
                <w:szCs w:val="21"/>
              </w:rPr>
              <w:t>分。（须提供合同原件及</w:t>
            </w:r>
            <w:r>
              <w:rPr>
                <w:rFonts w:hint="eastAsia"/>
                <w:color w:val="000000"/>
                <w:szCs w:val="21"/>
                <w:lang w:eastAsia="zh-CN"/>
              </w:rPr>
              <w:t>成交</w:t>
            </w:r>
            <w:r>
              <w:rPr>
                <w:color w:val="000000"/>
                <w:szCs w:val="21"/>
              </w:rPr>
              <w:t>通知书原件，时间以合同签订时间为准，否则不得分）</w:t>
            </w:r>
          </w:p>
        </w:tc>
      </w:tr>
      <w:tr w14:paraId="6300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80" w:type="dxa"/>
            <w:tcBorders>
              <w:left w:val="single" w:color="auto" w:sz="4" w:space="0"/>
              <w:right w:val="single" w:color="auto" w:sz="4" w:space="0"/>
            </w:tcBorders>
            <w:noWrap w:val="0"/>
            <w:vAlign w:val="center"/>
          </w:tcPr>
          <w:p w14:paraId="5BED36B2">
            <w:pPr>
              <w:pStyle w:val="17"/>
              <w:spacing w:line="300" w:lineRule="auto"/>
              <w:ind w:firstLine="0" w:firstLineChars="0"/>
              <w:jc w:val="center"/>
              <w:rPr>
                <w:rFonts w:ascii="Times New Roman" w:hAnsi="Times New Roman"/>
                <w:color w:val="000000"/>
                <w:kern w:val="0"/>
              </w:rPr>
            </w:pPr>
            <w:r>
              <w:rPr>
                <w:rFonts w:hint="eastAsia" w:ascii="Times New Roman" w:hAnsi="Times New Roman" w:cs="Times New Roman"/>
                <w:color w:val="000000"/>
                <w:sz w:val="21"/>
                <w:szCs w:val="21"/>
                <w:lang w:val="en-US" w:eastAsia="zh-CN"/>
              </w:rPr>
              <w:t>供应商</w:t>
            </w:r>
            <w:r>
              <w:rPr>
                <w:rFonts w:ascii="Times New Roman" w:hAnsi="Times New Roman"/>
                <w:color w:val="000000"/>
                <w:kern w:val="0"/>
              </w:rPr>
              <w:t>报价</w:t>
            </w:r>
          </w:p>
        </w:tc>
        <w:tc>
          <w:tcPr>
            <w:tcW w:w="900" w:type="dxa"/>
            <w:tcBorders>
              <w:left w:val="single" w:color="auto" w:sz="4" w:space="0"/>
              <w:right w:val="single" w:color="auto" w:sz="4" w:space="0"/>
            </w:tcBorders>
            <w:noWrap w:val="0"/>
            <w:vAlign w:val="center"/>
          </w:tcPr>
          <w:p w14:paraId="327C65F7">
            <w:pPr>
              <w:pStyle w:val="18"/>
              <w:spacing w:line="300" w:lineRule="auto"/>
              <w:jc w:val="center"/>
              <w:rPr>
                <w:color w:val="000000"/>
                <w:sz w:val="21"/>
                <w:szCs w:val="21"/>
              </w:rPr>
            </w:pPr>
            <w:r>
              <w:rPr>
                <w:rFonts w:hint="eastAsia" w:eastAsia="宋体"/>
                <w:color w:val="000000"/>
                <w:sz w:val="21"/>
                <w:szCs w:val="21"/>
                <w:lang w:val="en-US" w:eastAsia="zh-CN"/>
              </w:rPr>
              <w:t>95</w:t>
            </w:r>
            <w:r>
              <w:rPr>
                <w:color w:val="000000"/>
                <w:sz w:val="21"/>
                <w:szCs w:val="21"/>
              </w:rPr>
              <w:t>分</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28F5C811">
            <w:pPr>
              <w:tabs>
                <w:tab w:val="right" w:pos="8306"/>
              </w:tabs>
              <w:spacing w:line="400" w:lineRule="exact"/>
              <w:rPr>
                <w:rFonts w:ascii="Times New Roman" w:hAnsi="Times New Roman" w:cs="Times New Roman"/>
                <w:color w:val="000000"/>
                <w:sz w:val="21"/>
                <w:szCs w:val="21"/>
              </w:rPr>
            </w:pPr>
            <w:r>
              <w:rPr>
                <w:rFonts w:hint="eastAsia" w:ascii="Times New Roman" w:hAnsi="Times New Roman" w:cs="Times New Roman"/>
                <w:color w:val="000000"/>
                <w:sz w:val="21"/>
                <w:szCs w:val="21"/>
              </w:rPr>
              <w:t>1.</w:t>
            </w:r>
            <w:r>
              <w:rPr>
                <w:rFonts w:hint="eastAsia" w:ascii="Times New Roman" w:hAnsi="Times New Roman" w:cs="Times New Roman"/>
                <w:color w:val="000000"/>
                <w:sz w:val="21"/>
                <w:szCs w:val="21"/>
                <w:lang w:val="en-US" w:eastAsia="zh-CN"/>
              </w:rPr>
              <w:t>评审</w:t>
            </w:r>
            <w:r>
              <w:rPr>
                <w:rFonts w:hint="eastAsia" w:ascii="Times New Roman" w:hAnsi="Times New Roman" w:cs="Times New Roman"/>
                <w:color w:val="000000"/>
                <w:sz w:val="21"/>
                <w:szCs w:val="21"/>
              </w:rPr>
              <w:t>基准价</w:t>
            </w:r>
          </w:p>
          <w:p w14:paraId="2F066AB7">
            <w:pPr>
              <w:tabs>
                <w:tab w:val="right" w:pos="8306"/>
              </w:tabs>
              <w:spacing w:line="400" w:lineRule="exact"/>
              <w:ind w:left="-2" w:leftChars="-1"/>
              <w:rPr>
                <w:rFonts w:ascii="Times New Roman" w:hAnsi="Times New Roman" w:cs="Times New Roman"/>
                <w:color w:val="000000"/>
                <w:sz w:val="21"/>
                <w:szCs w:val="21"/>
              </w:rPr>
            </w:pPr>
            <w:r>
              <w:rPr>
                <w:rFonts w:hint="eastAsia" w:ascii="Times New Roman" w:hAnsi="Times New Roman" w:cs="Times New Roman"/>
                <w:color w:val="000000"/>
                <w:sz w:val="21"/>
                <w:szCs w:val="21"/>
              </w:rPr>
              <w:t>当有效</w:t>
            </w:r>
            <w:r>
              <w:rPr>
                <w:rFonts w:hint="eastAsia" w:ascii="Times New Roman" w:hAnsi="Times New Roman" w:cs="Times New Roman"/>
                <w:color w:val="000000"/>
                <w:sz w:val="21"/>
                <w:szCs w:val="21"/>
                <w:lang w:eastAsia="zh-CN"/>
              </w:rPr>
              <w:t>成交单位</w:t>
            </w:r>
            <w:r>
              <w:rPr>
                <w:rFonts w:hint="eastAsia" w:ascii="Times New Roman" w:hAnsi="Times New Roman" w:cs="Times New Roman"/>
                <w:color w:val="000000"/>
                <w:sz w:val="21"/>
                <w:szCs w:val="21"/>
              </w:rPr>
              <w:t>N≤5时，为有效</w:t>
            </w:r>
            <w:r>
              <w:rPr>
                <w:rFonts w:hint="eastAsia" w:ascii="Times New Roman" w:hAnsi="Times New Roman" w:cs="Times New Roman"/>
                <w:color w:val="000000"/>
                <w:sz w:val="21"/>
                <w:szCs w:val="21"/>
                <w:lang w:eastAsia="zh-CN"/>
              </w:rPr>
              <w:t>成交单位</w:t>
            </w:r>
            <w:r>
              <w:rPr>
                <w:rFonts w:hint="eastAsia" w:ascii="Times New Roman" w:hAnsi="Times New Roman" w:cs="Times New Roman"/>
                <w:color w:val="000000"/>
                <w:sz w:val="21"/>
                <w:szCs w:val="21"/>
              </w:rPr>
              <w:t>的最低报价值。</w:t>
            </w:r>
          </w:p>
          <w:p w14:paraId="250E3847">
            <w:pPr>
              <w:tabs>
                <w:tab w:val="right" w:pos="8306"/>
              </w:tabs>
              <w:spacing w:line="400" w:lineRule="exact"/>
              <w:ind w:left="-2" w:leftChars="-1"/>
              <w:rPr>
                <w:rFonts w:ascii="Times New Roman" w:hAnsi="Times New Roman" w:cs="Times New Roman"/>
                <w:color w:val="000000"/>
                <w:sz w:val="21"/>
                <w:szCs w:val="21"/>
              </w:rPr>
            </w:pPr>
            <w:r>
              <w:rPr>
                <w:rFonts w:hint="eastAsia" w:ascii="Times New Roman" w:hAnsi="Times New Roman" w:cs="Times New Roman"/>
                <w:color w:val="000000"/>
                <w:sz w:val="21"/>
                <w:szCs w:val="21"/>
              </w:rPr>
              <w:t>当有效</w:t>
            </w:r>
            <w:r>
              <w:rPr>
                <w:rFonts w:hint="eastAsia" w:ascii="Times New Roman" w:hAnsi="Times New Roman" w:cs="Times New Roman"/>
                <w:color w:val="000000"/>
                <w:sz w:val="21"/>
                <w:szCs w:val="21"/>
                <w:lang w:eastAsia="zh-CN"/>
              </w:rPr>
              <w:t>成交单位</w:t>
            </w:r>
            <w:r>
              <w:rPr>
                <w:rFonts w:hint="eastAsia" w:ascii="Times New Roman" w:hAnsi="Times New Roman" w:cs="Times New Roman"/>
                <w:color w:val="000000"/>
                <w:sz w:val="21"/>
                <w:szCs w:val="21"/>
              </w:rPr>
              <w:t>N＞5时，为有效</w:t>
            </w:r>
            <w:r>
              <w:rPr>
                <w:rFonts w:hint="eastAsia" w:ascii="Times New Roman" w:hAnsi="Times New Roman" w:cs="Times New Roman"/>
                <w:color w:val="000000"/>
                <w:sz w:val="21"/>
                <w:szCs w:val="21"/>
                <w:lang w:eastAsia="zh-CN"/>
              </w:rPr>
              <w:t>成交单位</w:t>
            </w:r>
            <w:r>
              <w:rPr>
                <w:rFonts w:hint="eastAsia" w:ascii="Times New Roman" w:hAnsi="Times New Roman" w:cs="Times New Roman"/>
                <w:color w:val="000000"/>
                <w:sz w:val="21"/>
                <w:szCs w:val="21"/>
              </w:rPr>
              <w:t>的次低报价值 。</w:t>
            </w:r>
          </w:p>
          <w:p w14:paraId="22D9BF6D">
            <w:pPr>
              <w:tabs>
                <w:tab w:val="right" w:pos="8306"/>
              </w:tabs>
              <w:spacing w:line="400" w:lineRule="exact"/>
              <w:rPr>
                <w:rFonts w:ascii="Times New Roman" w:hAnsi="Times New Roman" w:cs="Times New Roman"/>
                <w:color w:val="000000"/>
                <w:sz w:val="21"/>
                <w:szCs w:val="21"/>
              </w:rPr>
            </w:pPr>
            <w:r>
              <w:rPr>
                <w:rFonts w:hint="eastAsia" w:ascii="Times New Roman" w:hAnsi="Times New Roman" w:cs="Times New Roman"/>
                <w:color w:val="000000"/>
                <w:sz w:val="21"/>
                <w:szCs w:val="21"/>
              </w:rPr>
              <w:t>2.报价分值=</w:t>
            </w:r>
            <w:r>
              <w:rPr>
                <w:rFonts w:hint="eastAsia" w:ascii="Times New Roman" w:hAnsi="Times New Roman" w:cs="Times New Roman"/>
                <w:color w:val="000000"/>
                <w:sz w:val="21"/>
                <w:szCs w:val="21"/>
                <w:lang w:val="en-US" w:eastAsia="zh-CN"/>
              </w:rPr>
              <w:t>评审</w:t>
            </w:r>
            <w:r>
              <w:rPr>
                <w:rFonts w:hint="eastAsia" w:ascii="Times New Roman" w:hAnsi="Times New Roman" w:cs="Times New Roman"/>
                <w:color w:val="000000"/>
                <w:sz w:val="21"/>
                <w:szCs w:val="21"/>
              </w:rPr>
              <w:t>基准价/</w:t>
            </w:r>
            <w:r>
              <w:rPr>
                <w:rFonts w:hint="eastAsia" w:ascii="Times New Roman" w:hAnsi="Times New Roman" w:cs="Times New Roman"/>
                <w:color w:val="000000"/>
                <w:sz w:val="21"/>
                <w:szCs w:val="21"/>
                <w:lang w:val="en-US" w:eastAsia="zh-CN"/>
              </w:rPr>
              <w:t>供应商</w:t>
            </w:r>
            <w:r>
              <w:rPr>
                <w:rFonts w:hint="eastAsia" w:ascii="Times New Roman" w:hAnsi="Times New Roman" w:cs="Times New Roman"/>
                <w:color w:val="000000"/>
                <w:sz w:val="21"/>
                <w:szCs w:val="21"/>
              </w:rPr>
              <w:t>报价*</w:t>
            </w:r>
            <w:r>
              <w:rPr>
                <w:rFonts w:hint="eastAsia" w:ascii="Times New Roman" w:hAnsi="Times New Roman" w:eastAsia="宋体" w:cs="Times New Roman"/>
                <w:color w:val="000000"/>
                <w:sz w:val="21"/>
                <w:szCs w:val="21"/>
                <w:lang w:val="en-US" w:eastAsia="zh-CN"/>
              </w:rPr>
              <w:t>95</w:t>
            </w:r>
            <w:r>
              <w:rPr>
                <w:rFonts w:hint="eastAsia" w:ascii="Times New Roman" w:hAnsi="Times New Roman" w:cs="Times New Roman"/>
                <w:color w:val="000000"/>
                <w:sz w:val="21"/>
                <w:szCs w:val="21"/>
              </w:rPr>
              <w:t xml:space="preserve"> （最高</w:t>
            </w:r>
            <w:r>
              <w:rPr>
                <w:rFonts w:hint="eastAsia" w:ascii="Times New Roman" w:hAnsi="Times New Roman" w:eastAsia="宋体" w:cs="Times New Roman"/>
                <w:color w:val="000000"/>
                <w:sz w:val="21"/>
                <w:szCs w:val="21"/>
                <w:lang w:val="en-US" w:eastAsia="zh-CN"/>
              </w:rPr>
              <w:t>95</w:t>
            </w:r>
            <w:r>
              <w:rPr>
                <w:rFonts w:hint="eastAsia" w:ascii="Times New Roman" w:hAnsi="Times New Roman" w:cs="Times New Roman"/>
                <w:color w:val="000000"/>
                <w:sz w:val="21"/>
                <w:szCs w:val="21"/>
              </w:rPr>
              <w:t>分）</w:t>
            </w:r>
          </w:p>
          <w:p w14:paraId="582F2D25">
            <w:pPr>
              <w:spacing w:line="30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3.</w:t>
            </w:r>
            <w:r>
              <w:rPr>
                <w:rFonts w:hint="eastAsia" w:ascii="Times New Roman" w:hAnsi="Times New Roman" w:cs="Times New Roman"/>
                <w:color w:val="000000"/>
                <w:sz w:val="21"/>
                <w:szCs w:val="21"/>
                <w:lang w:val="en-US" w:eastAsia="zh-CN"/>
              </w:rPr>
              <w:t>供应商</w:t>
            </w:r>
            <w:r>
              <w:rPr>
                <w:rFonts w:hint="eastAsia" w:ascii="Times New Roman" w:hAnsi="Times New Roman" w:cs="Times New Roman"/>
                <w:color w:val="000000"/>
                <w:sz w:val="21"/>
                <w:szCs w:val="21"/>
              </w:rPr>
              <w:t>报价分值高于</w:t>
            </w:r>
            <w:r>
              <w:rPr>
                <w:rFonts w:hint="eastAsia" w:ascii="Times New Roman" w:hAnsi="Times New Roman" w:eastAsia="宋体" w:cs="Times New Roman"/>
                <w:color w:val="000000"/>
                <w:sz w:val="21"/>
                <w:szCs w:val="21"/>
                <w:lang w:val="en-US" w:eastAsia="zh-CN"/>
              </w:rPr>
              <w:t>95</w:t>
            </w:r>
            <w:r>
              <w:rPr>
                <w:rFonts w:hint="eastAsia" w:ascii="Times New Roman" w:hAnsi="Times New Roman" w:cs="Times New Roman"/>
                <w:color w:val="000000"/>
                <w:sz w:val="21"/>
                <w:szCs w:val="21"/>
              </w:rPr>
              <w:t>分按照</w:t>
            </w:r>
            <w:r>
              <w:rPr>
                <w:rFonts w:hint="eastAsia" w:ascii="Times New Roman" w:hAnsi="Times New Roman" w:eastAsia="宋体" w:cs="Times New Roman"/>
                <w:color w:val="000000"/>
                <w:sz w:val="21"/>
                <w:szCs w:val="21"/>
                <w:lang w:val="en-US" w:eastAsia="zh-CN"/>
              </w:rPr>
              <w:t>95</w:t>
            </w:r>
            <w:r>
              <w:rPr>
                <w:rFonts w:hint="eastAsia" w:ascii="Times New Roman" w:hAnsi="Times New Roman" w:cs="Times New Roman"/>
                <w:color w:val="000000"/>
                <w:sz w:val="21"/>
                <w:szCs w:val="21"/>
              </w:rPr>
              <w:t>分计算。</w:t>
            </w:r>
          </w:p>
        </w:tc>
      </w:tr>
    </w:tbl>
    <w:p w14:paraId="214B1B6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eastAsia="宋体" w:cs="宋体"/>
          <w:sz w:val="24"/>
          <w:szCs w:val="24"/>
        </w:rPr>
        <w:sectPr>
          <w:footerReference r:id="rId9" w:type="default"/>
          <w:pgSz w:w="11906" w:h="16839"/>
          <w:pgMar w:top="1431" w:right="1785" w:bottom="1156" w:left="1654" w:header="0" w:footer="994" w:gutter="0"/>
          <w:cols w:space="720" w:num="1"/>
        </w:sectPr>
      </w:pPr>
    </w:p>
    <w:p w14:paraId="016E0751">
      <w:pPr>
        <w:spacing w:before="90" w:line="225" w:lineRule="auto"/>
        <w:ind w:left="7"/>
        <w:rPr>
          <w:rFonts w:ascii="黑体" w:hAnsi="黑体" w:eastAsia="黑体" w:cs="黑体"/>
          <w:sz w:val="43"/>
          <w:szCs w:val="43"/>
        </w:rPr>
      </w:pPr>
      <w:r>
        <w:rPr>
          <w:rFonts w:ascii="黑体" w:hAnsi="黑体" w:eastAsia="黑体" w:cs="黑体"/>
          <w:b/>
          <w:bCs/>
          <w:spacing w:val="5"/>
          <w:sz w:val="43"/>
          <w:szCs w:val="43"/>
        </w:rPr>
        <w:t>第四章</w:t>
      </w:r>
      <w:r>
        <w:rPr>
          <w:rFonts w:ascii="黑体" w:hAnsi="黑体" w:eastAsia="黑体" w:cs="黑体"/>
          <w:spacing w:val="5"/>
          <w:sz w:val="43"/>
          <w:szCs w:val="43"/>
        </w:rPr>
        <w:t xml:space="preserve">  </w:t>
      </w:r>
      <w:r>
        <w:rPr>
          <w:rFonts w:ascii="黑体" w:hAnsi="黑体" w:eastAsia="黑体" w:cs="黑体"/>
          <w:b/>
          <w:bCs/>
          <w:spacing w:val="5"/>
          <w:sz w:val="43"/>
          <w:szCs w:val="43"/>
        </w:rPr>
        <w:t>合同条款及格式</w:t>
      </w:r>
    </w:p>
    <w:p w14:paraId="7383841D">
      <w:pPr>
        <w:spacing w:before="246" w:line="225" w:lineRule="auto"/>
        <w:ind w:left="5566"/>
        <w:outlineLvl w:val="0"/>
        <w:rPr>
          <w:rFonts w:ascii="宋体" w:hAnsi="宋体" w:eastAsia="宋体" w:cs="宋体"/>
          <w:sz w:val="31"/>
          <w:szCs w:val="31"/>
        </w:rPr>
      </w:pPr>
    </w:p>
    <w:p w14:paraId="041F78BD">
      <w:pPr>
        <w:spacing w:line="360" w:lineRule="auto"/>
        <w:ind w:firstLine="4440" w:firstLineChars="1850"/>
        <w:rPr>
          <w:rFonts w:ascii="黑体" w:hAnsi="宋体" w:eastAsia="黑体" w:cs="宋体"/>
          <w:sz w:val="28"/>
          <w:szCs w:val="28"/>
        </w:rPr>
      </w:pPr>
      <w:r>
        <w:rPr>
          <w:rFonts w:ascii="宋体" w:hAnsi="宋体"/>
          <w:kern w:val="0"/>
          <w:sz w:val="24"/>
          <w:szCs w:val="24"/>
        </w:rPr>
        <w:t xml:space="preserve">               </w:t>
      </w:r>
      <w:r>
        <w:rPr>
          <w:rFonts w:hint="eastAsia" w:ascii="黑体" w:hAnsi="宋体" w:eastAsia="黑体" w:cs="宋体"/>
          <w:sz w:val="28"/>
          <w:szCs w:val="28"/>
        </w:rPr>
        <w:t>合同编号：</w:t>
      </w:r>
    </w:p>
    <w:p w14:paraId="76C06F53">
      <w:pPr>
        <w:jc w:val="left"/>
        <w:rPr>
          <w:rFonts w:eastAsia="仿宋_GB2312"/>
          <w:color w:val="FF0000"/>
          <w:sz w:val="24"/>
        </w:rPr>
      </w:pPr>
    </w:p>
    <w:p w14:paraId="0FD2C275">
      <w:pPr>
        <w:jc w:val="left"/>
        <w:rPr>
          <w:rFonts w:eastAsia="仿宋_GB2312"/>
          <w:color w:val="FF0000"/>
          <w:sz w:val="24"/>
        </w:rPr>
      </w:pPr>
    </w:p>
    <w:p w14:paraId="5F109418">
      <w:pPr>
        <w:jc w:val="left"/>
        <w:rPr>
          <w:rFonts w:eastAsia="仿宋_GB2312"/>
          <w:color w:val="FF0000"/>
          <w:sz w:val="24"/>
        </w:rPr>
      </w:pPr>
    </w:p>
    <w:p w14:paraId="623F7EE1">
      <w:pPr>
        <w:jc w:val="center"/>
        <w:rPr>
          <w:rFonts w:hint="eastAsia" w:ascii="仿宋" w:hAnsi="仿宋" w:eastAsia="仿宋"/>
          <w:b/>
          <w:bCs/>
          <w:color w:val="000000"/>
          <w:sz w:val="44"/>
          <w:szCs w:val="44"/>
        </w:rPr>
      </w:pPr>
      <w:r>
        <w:rPr>
          <w:rFonts w:hint="eastAsia" w:ascii="仿宋" w:hAnsi="仿宋" w:eastAsia="仿宋"/>
          <w:b/>
          <w:bCs/>
          <w:color w:val="000000"/>
          <w:sz w:val="44"/>
          <w:szCs w:val="44"/>
        </w:rPr>
        <w:t>山东济钢环保新材料有限公司东矿区原弓角湾村范围矿山边界安全护栏施工采购</w:t>
      </w:r>
    </w:p>
    <w:p w14:paraId="0A322C78">
      <w:pPr>
        <w:jc w:val="center"/>
        <w:rPr>
          <w:rFonts w:hint="eastAsia" w:ascii="仿宋" w:hAnsi="仿宋" w:eastAsia="仿宋"/>
          <w:b/>
          <w:bCs/>
          <w:color w:val="000000"/>
          <w:sz w:val="44"/>
          <w:szCs w:val="44"/>
        </w:rPr>
      </w:pPr>
    </w:p>
    <w:p w14:paraId="0035FD00">
      <w:pPr>
        <w:jc w:val="both"/>
        <w:rPr>
          <w:rFonts w:hint="eastAsia" w:ascii="仿宋" w:hAnsi="仿宋" w:eastAsia="仿宋"/>
          <w:b/>
          <w:bCs/>
          <w:color w:val="000000"/>
          <w:sz w:val="44"/>
          <w:szCs w:val="44"/>
        </w:rPr>
      </w:pPr>
    </w:p>
    <w:p w14:paraId="0D02DA7C">
      <w:pPr>
        <w:jc w:val="center"/>
        <w:rPr>
          <w:rFonts w:hint="eastAsia" w:ascii="仿宋" w:hAnsi="仿宋" w:eastAsia="仿宋"/>
          <w:b/>
          <w:bCs/>
          <w:color w:val="000000"/>
          <w:sz w:val="44"/>
          <w:szCs w:val="44"/>
          <w:lang w:val="en-US" w:eastAsia="zh-CN"/>
        </w:rPr>
      </w:pPr>
    </w:p>
    <w:p w14:paraId="58F5F427">
      <w:pPr>
        <w:jc w:val="center"/>
        <w:rPr>
          <w:rFonts w:hint="default" w:ascii="仿宋" w:hAnsi="仿宋" w:eastAsia="仿宋"/>
          <w:b/>
          <w:bCs/>
          <w:color w:val="000000"/>
          <w:sz w:val="44"/>
          <w:szCs w:val="44"/>
          <w:lang w:val="en-US" w:eastAsia="zh-CN"/>
        </w:rPr>
      </w:pPr>
      <w:r>
        <w:rPr>
          <w:rFonts w:hint="eastAsia" w:ascii="仿宋" w:hAnsi="仿宋" w:eastAsia="仿宋"/>
          <w:b/>
          <w:bCs/>
          <w:color w:val="000000"/>
          <w:sz w:val="44"/>
          <w:szCs w:val="44"/>
          <w:lang w:val="en-US" w:eastAsia="zh-CN"/>
        </w:rPr>
        <w:t>编制合同书</w:t>
      </w:r>
    </w:p>
    <w:p w14:paraId="178CF177">
      <w:pPr>
        <w:pStyle w:val="2"/>
        <w:ind w:left="0" w:leftChars="0" w:firstLine="0" w:firstLineChars="0"/>
        <w:rPr>
          <w:rFonts w:ascii="仿宋" w:hAnsi="仿宋" w:eastAsia="仿宋"/>
          <w:b/>
          <w:bCs/>
          <w:color w:val="000000"/>
          <w:sz w:val="44"/>
          <w:szCs w:val="44"/>
        </w:rPr>
      </w:pPr>
    </w:p>
    <w:p w14:paraId="06809A20">
      <w:pPr>
        <w:pStyle w:val="2"/>
        <w:rPr>
          <w:rFonts w:ascii="仿宋" w:hAnsi="仿宋" w:eastAsia="仿宋"/>
          <w:b/>
          <w:bCs/>
          <w:color w:val="000000"/>
          <w:sz w:val="44"/>
          <w:szCs w:val="44"/>
        </w:rPr>
      </w:pPr>
    </w:p>
    <w:p w14:paraId="37D423EF">
      <w:pPr>
        <w:pStyle w:val="2"/>
        <w:rPr>
          <w:rFonts w:ascii="仿宋" w:hAnsi="仿宋" w:eastAsia="仿宋"/>
          <w:b/>
          <w:bCs/>
          <w:color w:val="000000"/>
          <w:sz w:val="44"/>
          <w:szCs w:val="44"/>
        </w:rPr>
      </w:pPr>
    </w:p>
    <w:p w14:paraId="01AF7FA9">
      <w:pPr>
        <w:pStyle w:val="9"/>
        <w:keepNext w:val="0"/>
        <w:keepLines w:val="0"/>
        <w:pageBreakBefore w:val="0"/>
        <w:kinsoku w:val="0"/>
        <w:wordWrap/>
        <w:overflowPunct/>
        <w:topLinePunct w:val="0"/>
        <w:autoSpaceDE w:val="0"/>
        <w:autoSpaceDN w:val="0"/>
        <w:bidi w:val="0"/>
        <w:adjustRightInd w:val="0"/>
        <w:snapToGrid w:val="0"/>
        <w:spacing w:line="480" w:lineRule="auto"/>
        <w:ind w:left="48" w:leftChars="23"/>
        <w:textAlignment w:val="baseline"/>
        <w:rPr>
          <w:rFonts w:eastAsia="黑体"/>
          <w:sz w:val="28"/>
          <w:szCs w:val="28"/>
          <w:u w:val="single"/>
        </w:rPr>
      </w:pPr>
      <w:r>
        <w:rPr>
          <w:rFonts w:hint="eastAsia" w:ascii="黑体" w:hAnsi="宋体" w:eastAsia="黑体" w:cs="宋体"/>
          <w:sz w:val="28"/>
          <w:szCs w:val="28"/>
        </w:rPr>
        <w:t>工</w:t>
      </w:r>
      <w:r>
        <w:rPr>
          <w:rFonts w:ascii="黑体" w:hAnsi="宋体" w:eastAsia="黑体" w:cs="宋体"/>
          <w:sz w:val="28"/>
          <w:szCs w:val="28"/>
        </w:rPr>
        <w:t xml:space="preserve">  </w:t>
      </w:r>
      <w:r>
        <w:rPr>
          <w:rFonts w:hint="eastAsia" w:ascii="黑体" w:hAnsi="宋体" w:eastAsia="黑体" w:cs="宋体"/>
          <w:sz w:val="28"/>
          <w:szCs w:val="28"/>
        </w:rPr>
        <w:t>程</w:t>
      </w:r>
      <w:r>
        <w:rPr>
          <w:rFonts w:ascii="黑体" w:hAnsi="宋体" w:eastAsia="黑体" w:cs="宋体"/>
          <w:sz w:val="28"/>
          <w:szCs w:val="28"/>
        </w:rPr>
        <w:t xml:space="preserve">  </w:t>
      </w:r>
      <w:r>
        <w:rPr>
          <w:rFonts w:hint="eastAsia" w:ascii="黑体" w:hAnsi="宋体" w:eastAsia="黑体" w:cs="宋体"/>
          <w:sz w:val="28"/>
          <w:szCs w:val="28"/>
        </w:rPr>
        <w:t>名</w:t>
      </w:r>
      <w:r>
        <w:rPr>
          <w:rFonts w:ascii="黑体" w:hAnsi="宋体" w:eastAsia="黑体" w:cs="宋体"/>
          <w:sz w:val="28"/>
          <w:szCs w:val="28"/>
        </w:rPr>
        <w:t xml:space="preserve">  </w:t>
      </w:r>
      <w:r>
        <w:rPr>
          <w:rFonts w:hint="eastAsia" w:ascii="黑体" w:hAnsi="宋体" w:eastAsia="黑体" w:cs="宋体"/>
          <w:sz w:val="28"/>
          <w:szCs w:val="28"/>
        </w:rPr>
        <w:t>称：</w:t>
      </w:r>
      <w:r>
        <w:rPr>
          <w:rFonts w:hint="eastAsia" w:ascii="黑体" w:hAnsi="仿宋" w:eastAsia="黑体"/>
          <w:sz w:val="28"/>
          <w:szCs w:val="28"/>
        </w:rPr>
        <w:t>山东济钢环保新材料有限公司</w:t>
      </w:r>
    </w:p>
    <w:p w14:paraId="25A06497">
      <w:pPr>
        <w:keepNext w:val="0"/>
        <w:keepLines w:val="0"/>
        <w:pageBreakBefore w:val="0"/>
        <w:kinsoku w:val="0"/>
        <w:wordWrap/>
        <w:overflowPunct/>
        <w:topLinePunct w:val="0"/>
        <w:autoSpaceDE w:val="0"/>
        <w:autoSpaceDN w:val="0"/>
        <w:bidi w:val="0"/>
        <w:adjustRightInd w:val="0"/>
        <w:snapToGrid w:val="0"/>
        <w:spacing w:line="480" w:lineRule="auto"/>
        <w:textAlignment w:val="baseline"/>
        <w:rPr>
          <w:rFonts w:ascii="黑体" w:eastAsia="黑体"/>
          <w:sz w:val="28"/>
          <w:szCs w:val="28"/>
          <w:u w:val="single"/>
        </w:rPr>
      </w:pPr>
      <w:r>
        <w:rPr>
          <w:rFonts w:hint="eastAsia" w:ascii="黑体" w:eastAsia="黑体"/>
          <w:sz w:val="28"/>
          <w:szCs w:val="28"/>
        </w:rPr>
        <w:t>工</w:t>
      </w:r>
      <w:r>
        <w:rPr>
          <w:rFonts w:ascii="黑体" w:eastAsia="黑体"/>
          <w:sz w:val="28"/>
          <w:szCs w:val="28"/>
        </w:rPr>
        <w:t xml:space="preserve">  </w:t>
      </w:r>
      <w:r>
        <w:rPr>
          <w:rFonts w:hint="eastAsia" w:ascii="黑体" w:eastAsia="黑体"/>
          <w:sz w:val="28"/>
          <w:szCs w:val="28"/>
        </w:rPr>
        <w:t>程</w:t>
      </w:r>
      <w:r>
        <w:rPr>
          <w:rFonts w:ascii="黑体" w:eastAsia="黑体"/>
          <w:sz w:val="28"/>
          <w:szCs w:val="28"/>
        </w:rPr>
        <w:t xml:space="preserve">  </w:t>
      </w:r>
      <w:r>
        <w:rPr>
          <w:rFonts w:hint="eastAsia" w:ascii="黑体" w:eastAsia="黑体"/>
          <w:sz w:val="28"/>
          <w:szCs w:val="28"/>
        </w:rPr>
        <w:t>地</w:t>
      </w:r>
      <w:r>
        <w:rPr>
          <w:rFonts w:ascii="黑体" w:eastAsia="黑体"/>
          <w:sz w:val="28"/>
          <w:szCs w:val="28"/>
        </w:rPr>
        <w:t xml:space="preserve">  </w:t>
      </w:r>
      <w:r>
        <w:rPr>
          <w:rFonts w:hint="eastAsia" w:ascii="黑体" w:eastAsia="黑体"/>
          <w:sz w:val="28"/>
          <w:szCs w:val="28"/>
        </w:rPr>
        <w:t>点：济南市章丘区官庄街道办事处青野村东</w:t>
      </w:r>
    </w:p>
    <w:p w14:paraId="4B514288">
      <w:pPr>
        <w:keepNext w:val="0"/>
        <w:keepLines w:val="0"/>
        <w:pageBreakBefore w:val="0"/>
        <w:kinsoku w:val="0"/>
        <w:wordWrap/>
        <w:overflowPunct/>
        <w:topLinePunct w:val="0"/>
        <w:autoSpaceDE w:val="0"/>
        <w:autoSpaceDN w:val="0"/>
        <w:bidi w:val="0"/>
        <w:adjustRightInd w:val="0"/>
        <w:snapToGrid w:val="0"/>
        <w:spacing w:line="480" w:lineRule="auto"/>
        <w:textAlignment w:val="baseline"/>
        <w:rPr>
          <w:rFonts w:ascii="黑体" w:eastAsia="黑体"/>
          <w:sz w:val="28"/>
          <w:szCs w:val="28"/>
        </w:rPr>
      </w:pPr>
      <w:r>
        <w:rPr>
          <w:rFonts w:hint="eastAsia" w:ascii="黑体" w:eastAsia="黑体"/>
          <w:sz w:val="28"/>
          <w:szCs w:val="28"/>
        </w:rPr>
        <w:t>合</w:t>
      </w:r>
      <w:r>
        <w:rPr>
          <w:rFonts w:ascii="黑体" w:eastAsia="黑体"/>
          <w:sz w:val="28"/>
          <w:szCs w:val="28"/>
        </w:rPr>
        <w:t xml:space="preserve">  </w:t>
      </w:r>
      <w:r>
        <w:rPr>
          <w:rFonts w:hint="eastAsia" w:ascii="黑体" w:eastAsia="黑体"/>
          <w:sz w:val="28"/>
          <w:szCs w:val="28"/>
        </w:rPr>
        <w:t>同</w:t>
      </w:r>
      <w:r>
        <w:rPr>
          <w:rFonts w:ascii="黑体" w:eastAsia="黑体"/>
          <w:sz w:val="28"/>
          <w:szCs w:val="28"/>
        </w:rPr>
        <w:t xml:space="preserve">  </w:t>
      </w:r>
      <w:r>
        <w:rPr>
          <w:rFonts w:hint="eastAsia" w:ascii="黑体" w:eastAsia="黑体"/>
          <w:sz w:val="28"/>
          <w:szCs w:val="28"/>
        </w:rPr>
        <w:t>编</w:t>
      </w:r>
      <w:r>
        <w:rPr>
          <w:rFonts w:ascii="黑体" w:eastAsia="黑体"/>
          <w:sz w:val="28"/>
          <w:szCs w:val="28"/>
        </w:rPr>
        <w:t xml:space="preserve">  </w:t>
      </w:r>
      <w:r>
        <w:rPr>
          <w:rFonts w:hint="eastAsia" w:ascii="黑体" w:eastAsia="黑体"/>
          <w:sz w:val="28"/>
          <w:szCs w:val="28"/>
        </w:rPr>
        <w:t>号：</w:t>
      </w:r>
      <w:r>
        <w:rPr>
          <w:rFonts w:hint="eastAsia" w:ascii="黑体" w:hAnsi="仿宋" w:eastAsia="黑体"/>
          <w:sz w:val="28"/>
          <w:szCs w:val="28"/>
          <w:u w:val="single"/>
        </w:rPr>
        <w:t xml:space="preserve">                          </w:t>
      </w:r>
    </w:p>
    <w:p w14:paraId="7B462787">
      <w:pPr>
        <w:keepNext w:val="0"/>
        <w:keepLines w:val="0"/>
        <w:pageBreakBefore w:val="0"/>
        <w:kinsoku w:val="0"/>
        <w:wordWrap/>
        <w:overflowPunct/>
        <w:topLinePunct w:val="0"/>
        <w:autoSpaceDE w:val="0"/>
        <w:autoSpaceDN w:val="0"/>
        <w:bidi w:val="0"/>
        <w:adjustRightInd w:val="0"/>
        <w:snapToGrid w:val="0"/>
        <w:spacing w:line="480" w:lineRule="auto"/>
        <w:textAlignment w:val="baseline"/>
        <w:rPr>
          <w:rFonts w:ascii="黑体" w:eastAsia="黑体"/>
          <w:sz w:val="28"/>
          <w:szCs w:val="28"/>
        </w:rPr>
      </w:pPr>
      <w:r>
        <w:rPr>
          <w:rFonts w:hint="eastAsia" w:ascii="黑体" w:eastAsia="黑体"/>
          <w:sz w:val="28"/>
          <w:szCs w:val="28"/>
        </w:rPr>
        <w:t>甲方（发包方）：山东济钢环保新材料有限公司</w:t>
      </w:r>
      <w:r>
        <w:rPr>
          <w:rFonts w:ascii="黑体" w:eastAsia="黑体"/>
          <w:sz w:val="28"/>
          <w:szCs w:val="28"/>
        </w:rPr>
        <w:t xml:space="preserve"> </w:t>
      </w:r>
    </w:p>
    <w:p w14:paraId="0FCBCF16">
      <w:pPr>
        <w:keepNext w:val="0"/>
        <w:keepLines w:val="0"/>
        <w:pageBreakBefore w:val="0"/>
        <w:kinsoku w:val="0"/>
        <w:wordWrap/>
        <w:overflowPunct/>
        <w:topLinePunct w:val="0"/>
        <w:autoSpaceDE w:val="0"/>
        <w:autoSpaceDN w:val="0"/>
        <w:bidi w:val="0"/>
        <w:adjustRightInd w:val="0"/>
        <w:snapToGrid w:val="0"/>
        <w:spacing w:line="480" w:lineRule="auto"/>
        <w:ind w:right="27" w:rightChars="13"/>
        <w:textAlignment w:val="baseline"/>
        <w:rPr>
          <w:rFonts w:ascii="黑体" w:eastAsia="黑体"/>
          <w:sz w:val="28"/>
          <w:szCs w:val="28"/>
          <w:u w:val="single"/>
        </w:rPr>
      </w:pPr>
      <w:r>
        <w:rPr>
          <w:rFonts w:hint="eastAsia" w:ascii="黑体" w:eastAsia="黑体"/>
          <w:sz w:val="28"/>
          <w:szCs w:val="28"/>
        </w:rPr>
        <w:t xml:space="preserve">乙方（承包方）： </w:t>
      </w:r>
      <w:r>
        <w:rPr>
          <w:rFonts w:hint="eastAsia" w:ascii="黑体" w:eastAsia="黑体"/>
          <w:sz w:val="28"/>
          <w:szCs w:val="28"/>
          <w:u w:val="single"/>
        </w:rPr>
        <w:t xml:space="preserve">                        </w:t>
      </w:r>
    </w:p>
    <w:p w14:paraId="0436D8F5">
      <w:pPr>
        <w:keepNext w:val="0"/>
        <w:keepLines w:val="0"/>
        <w:pageBreakBefore w:val="0"/>
        <w:kinsoku w:val="0"/>
        <w:wordWrap/>
        <w:overflowPunct/>
        <w:topLinePunct w:val="0"/>
        <w:autoSpaceDE w:val="0"/>
        <w:autoSpaceDN w:val="0"/>
        <w:bidi w:val="0"/>
        <w:adjustRightInd w:val="0"/>
        <w:snapToGrid w:val="0"/>
        <w:spacing w:line="480" w:lineRule="auto"/>
        <w:ind w:right="27" w:rightChars="13"/>
        <w:textAlignment w:val="baseline"/>
        <w:rPr>
          <w:rFonts w:ascii="仿宋" w:hAnsi="仿宋" w:eastAsia="仿宋"/>
          <w:b/>
          <w:bCs/>
          <w:color w:val="000000"/>
          <w:sz w:val="44"/>
          <w:szCs w:val="44"/>
        </w:rPr>
      </w:pPr>
      <w:r>
        <w:rPr>
          <w:rFonts w:hint="eastAsia" w:ascii="黑体" w:eastAsia="黑体"/>
          <w:sz w:val="28"/>
          <w:szCs w:val="28"/>
        </w:rPr>
        <w:t>签</w:t>
      </w:r>
      <w:r>
        <w:rPr>
          <w:rFonts w:ascii="黑体" w:eastAsia="黑体"/>
          <w:sz w:val="28"/>
          <w:szCs w:val="28"/>
        </w:rPr>
        <w:t xml:space="preserve">  </w:t>
      </w:r>
      <w:r>
        <w:rPr>
          <w:rFonts w:hint="eastAsia" w:ascii="黑体" w:eastAsia="黑体"/>
          <w:sz w:val="28"/>
          <w:szCs w:val="28"/>
        </w:rPr>
        <w:t>订</w:t>
      </w:r>
      <w:r>
        <w:rPr>
          <w:rFonts w:ascii="黑体" w:eastAsia="黑体"/>
          <w:sz w:val="28"/>
          <w:szCs w:val="28"/>
        </w:rPr>
        <w:t xml:space="preserve">  </w:t>
      </w:r>
      <w:r>
        <w:rPr>
          <w:rFonts w:hint="eastAsia" w:ascii="黑体" w:eastAsia="黑体"/>
          <w:sz w:val="28"/>
          <w:szCs w:val="28"/>
        </w:rPr>
        <w:t>日</w:t>
      </w:r>
      <w:r>
        <w:rPr>
          <w:rFonts w:ascii="黑体" w:eastAsia="黑体"/>
          <w:sz w:val="28"/>
          <w:szCs w:val="28"/>
        </w:rPr>
        <w:t xml:space="preserve">  </w:t>
      </w:r>
      <w:r>
        <w:rPr>
          <w:rFonts w:hint="eastAsia" w:ascii="黑体" w:eastAsia="黑体"/>
          <w:sz w:val="28"/>
          <w:szCs w:val="28"/>
        </w:rPr>
        <w:t>期：</w:t>
      </w:r>
      <w:r>
        <w:rPr>
          <w:rFonts w:ascii="黑体" w:eastAsia="黑体"/>
          <w:sz w:val="28"/>
          <w:szCs w:val="28"/>
        </w:rPr>
        <w:t xml:space="preserve">  </w:t>
      </w:r>
      <w:r>
        <w:rPr>
          <w:rFonts w:hint="eastAsia" w:ascii="黑体" w:eastAsia="黑体"/>
          <w:sz w:val="28"/>
          <w:szCs w:val="28"/>
        </w:rPr>
        <w:t xml:space="preserve">  年  月   日</w:t>
      </w:r>
      <w:r>
        <w:rPr>
          <w:rFonts w:hint="eastAsia" w:ascii="宋体" w:hAnsi="宋体"/>
          <w:bCs/>
          <w:kern w:val="0"/>
          <w:sz w:val="32"/>
          <w:szCs w:val="32"/>
          <w:lang w:val="en-US" w:eastAsia="zh-CN"/>
        </w:rPr>
        <w:t xml:space="preserve">  </w:t>
      </w:r>
    </w:p>
    <w:p w14:paraId="4CFEA2EC">
      <w:pPr>
        <w:spacing w:line="540" w:lineRule="exact"/>
        <w:ind w:firstLine="280" w:firstLineChars="100"/>
        <w:rPr>
          <w:rFonts w:hint="eastAsia" w:asciiTheme="minorEastAsia" w:hAnsiTheme="minorEastAsia" w:eastAsiaTheme="minorEastAsia" w:cstheme="minorEastAsia"/>
          <w:color w:val="000000"/>
          <w:sz w:val="28"/>
          <w:szCs w:val="28"/>
        </w:rPr>
      </w:pPr>
    </w:p>
    <w:p w14:paraId="573C0990">
      <w:pPr>
        <w:spacing w:line="540" w:lineRule="exact"/>
        <w:ind w:firstLine="280" w:firstLineChars="100"/>
        <w:rPr>
          <w:rFonts w:hint="eastAsia" w:asciiTheme="minorEastAsia" w:hAnsiTheme="minorEastAsia" w:eastAsiaTheme="minorEastAsia" w:cstheme="minorEastAsia"/>
          <w:color w:val="000000"/>
          <w:sz w:val="28"/>
          <w:szCs w:val="28"/>
        </w:rPr>
      </w:pPr>
    </w:p>
    <w:p w14:paraId="7A9BEB85">
      <w:pPr>
        <w:spacing w:line="540" w:lineRule="exact"/>
        <w:ind w:firstLine="280" w:firstLineChars="100"/>
        <w:rPr>
          <w:rFonts w:hint="eastAsia" w:asciiTheme="minorEastAsia" w:hAnsiTheme="minorEastAsia" w:eastAsiaTheme="minorEastAsia" w:cstheme="minorEastAsia"/>
          <w:color w:val="000000"/>
          <w:sz w:val="28"/>
          <w:szCs w:val="28"/>
        </w:rPr>
      </w:pPr>
    </w:p>
    <w:p w14:paraId="501AC28A">
      <w:pPr>
        <w:spacing w:line="540" w:lineRule="exact"/>
        <w:ind w:firstLine="280" w:firstLineChars="1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甲方：山东济钢环保新材料有限公司         </w:t>
      </w:r>
    </w:p>
    <w:p w14:paraId="51D003F6">
      <w:pPr>
        <w:spacing w:line="540" w:lineRule="exact"/>
        <w:ind w:firstLine="280" w:firstLineChars="1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乙方：      </w:t>
      </w:r>
    </w:p>
    <w:p w14:paraId="6F5EED5A">
      <w:pPr>
        <w:pStyle w:val="3"/>
        <w:spacing w:after="0" w:line="540" w:lineRule="exact"/>
        <w:ind w:firstLine="700" w:firstLineChars="250"/>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rPr>
        <w:t>依照《中华人民共和国民法典》、《中华人民共和国建筑法》及其它有关法律、行政法规，遵循平等、自愿、公平和诚实信用的原则，双方就本建设工程施工事项协商一致，订立本合同</w:t>
      </w:r>
      <w:r>
        <w:rPr>
          <w:rFonts w:hint="eastAsia" w:asciiTheme="minorEastAsia" w:hAnsiTheme="minorEastAsia" w:eastAsiaTheme="minorEastAsia" w:cstheme="minorEastAsia"/>
          <w:color w:val="000000"/>
          <w:sz w:val="28"/>
          <w:szCs w:val="28"/>
          <w:lang w:eastAsia="zh-CN"/>
        </w:rPr>
        <w:t>。</w:t>
      </w:r>
    </w:p>
    <w:p w14:paraId="1B0FF63F">
      <w:pPr>
        <w:spacing w:line="540" w:lineRule="exact"/>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一、工程概况</w:t>
      </w:r>
    </w:p>
    <w:p w14:paraId="7F95E6CE">
      <w:pPr>
        <w:spacing w:line="54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1、工程名称：山东济钢环保新材料有限公司</w:t>
      </w:r>
      <w:r>
        <w:rPr>
          <w:rFonts w:hint="eastAsia" w:asciiTheme="minorEastAsia" w:hAnsiTheme="minorEastAsia" w:eastAsiaTheme="minorEastAsia" w:cstheme="minorEastAsia"/>
          <w:color w:val="000000"/>
          <w:sz w:val="28"/>
          <w:szCs w:val="28"/>
          <w:lang w:val="en-US" w:eastAsia="zh-CN"/>
        </w:rPr>
        <w:t>东矿区原弓角湾村范围矿山边界安全护栏施工采购</w:t>
      </w:r>
      <w:r>
        <w:rPr>
          <w:rFonts w:hint="eastAsia" w:asciiTheme="minorEastAsia" w:hAnsiTheme="minorEastAsia" w:eastAsiaTheme="minorEastAsia" w:cstheme="minorEastAsia"/>
          <w:color w:val="000000"/>
          <w:sz w:val="28"/>
          <w:szCs w:val="28"/>
        </w:rPr>
        <w:t xml:space="preserve"> </w:t>
      </w:r>
    </w:p>
    <w:p w14:paraId="4991B13C">
      <w:pPr>
        <w:spacing w:line="54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2、工程地点：济南市章丘区官庄街道办事处山东济钢环保新材料有限公司</w:t>
      </w:r>
      <w:r>
        <w:rPr>
          <w:rFonts w:hint="eastAsia" w:asciiTheme="minorEastAsia" w:hAnsiTheme="minorEastAsia" w:eastAsiaTheme="minorEastAsia" w:cstheme="minorEastAsia"/>
          <w:color w:val="000000"/>
          <w:sz w:val="28"/>
          <w:szCs w:val="28"/>
          <w:lang w:val="en-US" w:eastAsia="zh-CN"/>
        </w:rPr>
        <w:t>东矿区</w:t>
      </w:r>
      <w:r>
        <w:rPr>
          <w:rFonts w:hint="eastAsia" w:asciiTheme="minorEastAsia" w:hAnsiTheme="minorEastAsia" w:eastAsiaTheme="minorEastAsia" w:cstheme="minorEastAsia"/>
          <w:color w:val="000000"/>
          <w:sz w:val="28"/>
          <w:szCs w:val="28"/>
        </w:rPr>
        <w:t>矿山区域。</w:t>
      </w:r>
    </w:p>
    <w:p w14:paraId="0DC92B0F">
      <w:pPr>
        <w:spacing w:line="540" w:lineRule="exact"/>
        <w:ind w:right="-334" w:rightChars="-159"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3、工程内容</w:t>
      </w:r>
      <w:r>
        <w:rPr>
          <w:rFonts w:hint="eastAsia" w:asciiTheme="minorEastAsia" w:hAnsiTheme="minorEastAsia" w:eastAsiaTheme="minorEastAsia" w:cstheme="minorEastAsia"/>
          <w:bCs/>
          <w:color w:val="000000"/>
          <w:sz w:val="28"/>
          <w:szCs w:val="28"/>
        </w:rPr>
        <w:t>：指定区域</w:t>
      </w:r>
      <w:r>
        <w:rPr>
          <w:rFonts w:hint="eastAsia" w:asciiTheme="minorEastAsia" w:hAnsiTheme="minorEastAsia" w:eastAsiaTheme="minorEastAsia" w:cstheme="minorEastAsia"/>
          <w:color w:val="000000"/>
          <w:sz w:val="28"/>
          <w:szCs w:val="28"/>
        </w:rPr>
        <w:t>范围内全部</w:t>
      </w:r>
      <w:r>
        <w:rPr>
          <w:rFonts w:hint="eastAsia" w:asciiTheme="minorEastAsia" w:hAnsiTheme="minorEastAsia" w:eastAsiaTheme="minorEastAsia" w:cstheme="minorEastAsia"/>
          <w:color w:val="000000"/>
          <w:sz w:val="28"/>
          <w:szCs w:val="28"/>
          <w:lang w:eastAsia="zh-CN"/>
        </w:rPr>
        <w:t>围栏</w:t>
      </w:r>
      <w:r>
        <w:rPr>
          <w:rFonts w:hint="eastAsia" w:asciiTheme="minorEastAsia" w:hAnsiTheme="minorEastAsia" w:eastAsiaTheme="minorEastAsia" w:cstheme="minorEastAsia"/>
          <w:color w:val="000000"/>
          <w:sz w:val="28"/>
          <w:szCs w:val="28"/>
        </w:rPr>
        <w:t xml:space="preserve">工程的施工、验收及保修工作。  </w:t>
      </w:r>
    </w:p>
    <w:p w14:paraId="62DB2536">
      <w:pPr>
        <w:spacing w:line="540" w:lineRule="exact"/>
        <w:ind w:right="-334" w:rightChars="-159"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4、工程承包方式：本工程以包工包料形式进行承包施工。</w:t>
      </w:r>
    </w:p>
    <w:p w14:paraId="6D9B3B7D">
      <w:pPr>
        <w:tabs>
          <w:tab w:val="decimal" w:pos="180"/>
        </w:tabs>
        <w:spacing w:line="540" w:lineRule="exact"/>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二、工程承包范围</w:t>
      </w:r>
    </w:p>
    <w:p w14:paraId="72C80C5F">
      <w:pPr>
        <w:spacing w:line="54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承包范围：本项目</w:t>
      </w:r>
      <w:r>
        <w:rPr>
          <w:rFonts w:hint="eastAsia" w:asciiTheme="minorEastAsia" w:hAnsiTheme="minorEastAsia" w:eastAsiaTheme="minorEastAsia" w:cstheme="minorEastAsia"/>
          <w:bCs/>
          <w:color w:val="000000"/>
          <w:sz w:val="28"/>
          <w:szCs w:val="28"/>
        </w:rPr>
        <w:t>指定区域</w:t>
      </w:r>
      <w:r>
        <w:rPr>
          <w:rFonts w:hint="eastAsia" w:asciiTheme="minorEastAsia" w:hAnsiTheme="minorEastAsia" w:eastAsiaTheme="minorEastAsia" w:cstheme="minorEastAsia"/>
          <w:color w:val="000000"/>
          <w:sz w:val="28"/>
          <w:szCs w:val="28"/>
        </w:rPr>
        <w:t>范围内</w:t>
      </w:r>
      <w:r>
        <w:rPr>
          <w:rFonts w:hint="eastAsia" w:asciiTheme="minorEastAsia" w:hAnsiTheme="minorEastAsia" w:eastAsiaTheme="minorEastAsia" w:cstheme="minorEastAsia"/>
          <w:color w:val="000000"/>
          <w:sz w:val="28"/>
          <w:szCs w:val="28"/>
          <w:lang w:eastAsia="zh-CN"/>
        </w:rPr>
        <w:t>围栏</w:t>
      </w:r>
      <w:r>
        <w:rPr>
          <w:rFonts w:hint="eastAsia" w:asciiTheme="minorEastAsia" w:hAnsiTheme="minorEastAsia" w:eastAsiaTheme="minorEastAsia" w:cstheme="minorEastAsia"/>
          <w:color w:val="000000"/>
          <w:sz w:val="28"/>
          <w:szCs w:val="28"/>
        </w:rPr>
        <w:t>工程及与本工程有关的竣工验收以前的所有内容。</w:t>
      </w:r>
    </w:p>
    <w:p w14:paraId="6C9EC542">
      <w:pPr>
        <w:spacing w:line="540" w:lineRule="exact"/>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三、承包工程内容</w:t>
      </w:r>
    </w:p>
    <w:p w14:paraId="4A6088C2">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1、基坑开挖，按照甲方要求开挖基坑。</w:t>
      </w:r>
    </w:p>
    <w:p w14:paraId="29E46693">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2、模板支护、预埋钢管立柱、加强斜撑及混凝土浇筑。</w:t>
      </w:r>
    </w:p>
    <w:p w14:paraId="7494466A">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3、模板拆除、基坑回填。</w:t>
      </w:r>
    </w:p>
    <w:p w14:paraId="5CD156CF">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4、网片安装。</w:t>
      </w:r>
    </w:p>
    <w:p w14:paraId="2BA9940A">
      <w:pPr>
        <w:spacing w:line="540" w:lineRule="exact"/>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四、合同工期</w:t>
      </w:r>
    </w:p>
    <w:p w14:paraId="15D280ED">
      <w:pPr>
        <w:spacing w:line="540" w:lineRule="exact"/>
        <w:ind w:firstLine="560" w:firstLineChars="200"/>
        <w:rPr>
          <w:rFonts w:hint="eastAsia" w:asciiTheme="minorEastAsia" w:hAnsiTheme="minorEastAsia" w:eastAsiaTheme="minorEastAsia" w:cstheme="minorEastAsia"/>
          <w:color w:val="000000"/>
          <w:sz w:val="28"/>
          <w:szCs w:val="28"/>
          <w:highlight w:val="yellow"/>
        </w:rPr>
      </w:pPr>
      <w:r>
        <w:rPr>
          <w:rFonts w:hint="eastAsia" w:asciiTheme="minorEastAsia" w:hAnsiTheme="minorEastAsia" w:eastAsiaTheme="minorEastAsia" w:cstheme="minorEastAsia"/>
          <w:bCs/>
          <w:color w:val="000000"/>
          <w:sz w:val="28"/>
          <w:szCs w:val="28"/>
          <w:highlight w:val="none"/>
        </w:rPr>
        <w:t>总工期：</w:t>
      </w:r>
      <w:r>
        <w:rPr>
          <w:rFonts w:hint="eastAsia" w:asciiTheme="minorEastAsia" w:hAnsiTheme="minorEastAsia" w:eastAsiaTheme="minorEastAsia" w:cstheme="minorEastAsia"/>
          <w:bCs/>
          <w:color w:val="auto"/>
          <w:sz w:val="28"/>
          <w:szCs w:val="28"/>
          <w:highlight w:val="none"/>
          <w:lang w:val="en-US" w:eastAsia="zh-CN"/>
        </w:rPr>
        <w:t>45</w:t>
      </w:r>
      <w:r>
        <w:rPr>
          <w:rFonts w:hint="eastAsia" w:asciiTheme="minorEastAsia" w:hAnsiTheme="minorEastAsia" w:eastAsiaTheme="minorEastAsia" w:cstheme="minorEastAsia"/>
          <w:bCs/>
          <w:color w:val="auto"/>
          <w:sz w:val="28"/>
          <w:szCs w:val="28"/>
          <w:highlight w:val="none"/>
        </w:rPr>
        <w:t>天</w:t>
      </w:r>
    </w:p>
    <w:p w14:paraId="14914022">
      <w:pPr>
        <w:spacing w:line="540" w:lineRule="exact"/>
        <w:ind w:firstLine="57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开工日期： 202</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年 月 日</w:t>
      </w:r>
    </w:p>
    <w:p w14:paraId="36426924">
      <w:pPr>
        <w:spacing w:line="540" w:lineRule="exact"/>
        <w:ind w:firstLine="570"/>
        <w:rPr>
          <w:rFonts w:hint="eastAsia" w:asciiTheme="minorEastAsia" w:hAnsiTheme="minorEastAsia" w:eastAsiaTheme="minorEastAsia" w:cstheme="minorEastAsia"/>
          <w:color w:val="000000"/>
          <w:sz w:val="28"/>
          <w:szCs w:val="28"/>
          <w:u w:val="single"/>
        </w:rPr>
      </w:pPr>
      <w:r>
        <w:rPr>
          <w:rFonts w:hint="eastAsia" w:asciiTheme="minorEastAsia" w:hAnsiTheme="minorEastAsia" w:eastAsiaTheme="minorEastAsia" w:cstheme="minorEastAsia"/>
          <w:color w:val="000000"/>
          <w:sz w:val="28"/>
          <w:szCs w:val="28"/>
        </w:rPr>
        <w:t>竣工日期： 202</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年 月 日</w:t>
      </w:r>
    </w:p>
    <w:p w14:paraId="2BDED8A0">
      <w:pPr>
        <w:spacing w:line="540" w:lineRule="exact"/>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五、图纸</w:t>
      </w:r>
    </w:p>
    <w:p w14:paraId="0455EBDA">
      <w:pPr>
        <w:spacing w:line="540" w:lineRule="exact"/>
        <w:ind w:firstLine="57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施工位置图（平面位置图）一次性交付乙方。</w:t>
      </w:r>
    </w:p>
    <w:p w14:paraId="38B357D9">
      <w:pPr>
        <w:spacing w:line="540" w:lineRule="exact"/>
        <w:ind w:firstLine="560" w:firstLineChars="200"/>
        <w:rPr>
          <w:rFonts w:hint="eastAsia" w:asciiTheme="minorEastAsia" w:hAnsiTheme="minorEastAsia" w:eastAsiaTheme="minorEastAsia" w:cstheme="minorEastAsia"/>
          <w:color w:val="FF0000"/>
          <w:sz w:val="28"/>
          <w:szCs w:val="28"/>
          <w:u w:val="single"/>
        </w:rPr>
      </w:pPr>
      <w:r>
        <w:rPr>
          <w:rFonts w:hint="eastAsia" w:asciiTheme="minorEastAsia" w:hAnsiTheme="minorEastAsia" w:eastAsiaTheme="minorEastAsia" w:cstheme="minorEastAsia"/>
          <w:color w:val="000000"/>
          <w:sz w:val="28"/>
          <w:szCs w:val="28"/>
        </w:rPr>
        <w:t>甲方向乙方提供图纸套数：</w:t>
      </w:r>
      <w:r>
        <w:rPr>
          <w:rFonts w:hint="eastAsia" w:asciiTheme="minorEastAsia" w:hAnsiTheme="minorEastAsia" w:eastAsiaTheme="minorEastAsia" w:cstheme="minorEastAsia"/>
          <w:color w:val="000000"/>
          <w:sz w:val="28"/>
          <w:szCs w:val="28"/>
          <w:lang w:val="en-US" w:eastAsia="zh-CN"/>
        </w:rPr>
        <w:t>一</w:t>
      </w:r>
      <w:r>
        <w:rPr>
          <w:rFonts w:hint="eastAsia" w:asciiTheme="minorEastAsia" w:hAnsiTheme="minorEastAsia" w:eastAsiaTheme="minorEastAsia" w:cstheme="minorEastAsia"/>
          <w:color w:val="000000"/>
          <w:kern w:val="0"/>
          <w:sz w:val="28"/>
          <w:szCs w:val="28"/>
        </w:rPr>
        <w:t>套图纸。</w:t>
      </w:r>
    </w:p>
    <w:p w14:paraId="78D7233B">
      <w:pPr>
        <w:spacing w:line="540" w:lineRule="exact"/>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六、价格及付款方式</w:t>
      </w:r>
    </w:p>
    <w:p w14:paraId="2CEF20D5">
      <w:pPr>
        <w:spacing w:line="54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1、本工程综合包干单价：  元/米（含税9%），包干价格包括材料费、运输费、施工费、机械费、人工费、资料、税金</w:t>
      </w:r>
      <w:r>
        <w:rPr>
          <w:rFonts w:hint="eastAsia" w:asciiTheme="minorEastAsia" w:hAnsiTheme="minorEastAsia" w:eastAsiaTheme="minorEastAsia" w:cstheme="minorEastAsia"/>
          <w:bCs/>
          <w:color w:val="auto"/>
          <w:sz w:val="28"/>
          <w:szCs w:val="28"/>
          <w:highlight w:val="none"/>
          <w:lang w:val="en-US" w:eastAsia="zh-CN"/>
        </w:rPr>
        <w:t>以及解决涉及村庄村民纠纷所发生的费用</w:t>
      </w:r>
      <w:r>
        <w:rPr>
          <w:rFonts w:hint="eastAsia" w:asciiTheme="minorEastAsia" w:hAnsiTheme="minorEastAsia" w:eastAsiaTheme="minorEastAsia" w:cstheme="minorEastAsia"/>
          <w:kern w:val="0"/>
          <w:sz w:val="28"/>
          <w:szCs w:val="28"/>
        </w:rPr>
        <w:t>等全部费用。</w:t>
      </w:r>
    </w:p>
    <w:p w14:paraId="448F34E6">
      <w:pPr>
        <w:spacing w:line="540" w:lineRule="exact"/>
        <w:ind w:left="839" w:leftChars="266" w:hanging="280" w:hangingChars="1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kern w:val="0"/>
          <w:sz w:val="28"/>
          <w:szCs w:val="28"/>
        </w:rPr>
        <w:t>2、</w:t>
      </w:r>
      <w:r>
        <w:rPr>
          <w:rFonts w:hint="eastAsia" w:asciiTheme="minorEastAsia" w:hAnsiTheme="minorEastAsia" w:eastAsiaTheme="minorEastAsia" w:cstheme="minorEastAsia"/>
          <w:kern w:val="0"/>
          <w:sz w:val="28"/>
          <w:szCs w:val="28"/>
          <w:lang w:eastAsia="zh-CN"/>
        </w:rPr>
        <w:t>围栏</w:t>
      </w:r>
      <w:r>
        <w:rPr>
          <w:rFonts w:hint="eastAsia" w:asciiTheme="minorEastAsia" w:hAnsiTheme="minorEastAsia" w:eastAsiaTheme="minorEastAsia" w:cstheme="minorEastAsia"/>
          <w:kern w:val="0"/>
          <w:sz w:val="28"/>
          <w:szCs w:val="28"/>
        </w:rPr>
        <w:t>长度预计</w:t>
      </w:r>
      <w:r>
        <w:rPr>
          <w:rFonts w:hint="eastAsia" w:asciiTheme="minorEastAsia" w:hAnsiTheme="minorEastAsia" w:eastAsia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000米</w:t>
      </w:r>
      <w:r>
        <w:rPr>
          <w:rFonts w:hint="eastAsia" w:asciiTheme="minorEastAsia" w:hAnsiTheme="minorEastAsia" w:eastAsiaTheme="minorEastAsia" w:cstheme="minorEastAsia"/>
          <w:kern w:val="0"/>
          <w:sz w:val="28"/>
          <w:szCs w:val="28"/>
        </w:rPr>
        <w:t xml:space="preserve">（根据现场情况确定），暂定合同总价   </w:t>
      </w:r>
      <w:r>
        <w:rPr>
          <w:rFonts w:hint="eastAsia" w:asciiTheme="minorEastAsia" w:hAnsiTheme="minorEastAsia" w:eastAsiaTheme="minorEastAsia" w:cstheme="minorEastAsia"/>
          <w:kern w:val="0"/>
          <w:sz w:val="28"/>
          <w:szCs w:val="28"/>
          <w:highlight w:val="yellow"/>
        </w:rPr>
        <w:t>万元（含税</w:t>
      </w:r>
      <w:r>
        <w:rPr>
          <w:rFonts w:hint="eastAsia" w:asciiTheme="minorEastAsia" w:hAnsiTheme="minorEastAsia" w:eastAsiaTheme="minorEastAsia" w:cstheme="minorEastAsia"/>
          <w:kern w:val="0"/>
          <w:sz w:val="28"/>
          <w:szCs w:val="28"/>
          <w:highlight w:val="yellow"/>
          <w:lang w:val="en-US" w:eastAsia="zh-CN"/>
        </w:rPr>
        <w:t xml:space="preserve">  </w:t>
      </w:r>
      <w:r>
        <w:rPr>
          <w:rFonts w:hint="eastAsia" w:asciiTheme="minorEastAsia" w:hAnsiTheme="minorEastAsia" w:eastAsiaTheme="minorEastAsia" w:cstheme="minorEastAsia"/>
          <w:kern w:val="0"/>
          <w:sz w:val="28"/>
          <w:szCs w:val="28"/>
        </w:rPr>
        <w:t>）。</w:t>
      </w:r>
    </w:p>
    <w:p w14:paraId="480B18B8">
      <w:pPr>
        <w:adjustRightInd w:val="0"/>
        <w:snapToGrid w:val="0"/>
        <w:spacing w:line="540" w:lineRule="exact"/>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3、竣工验收合格且乙方开具增值税专用发票后，甲方支付总工程款的</w:t>
      </w:r>
      <w:r>
        <w:rPr>
          <w:rFonts w:hint="eastAsia" w:asciiTheme="minorEastAsia" w:hAnsiTheme="minorEastAsia" w:eastAsiaTheme="minorEastAsia" w:cstheme="minorEastAsia"/>
          <w:kern w:val="0"/>
          <w:sz w:val="28"/>
          <w:szCs w:val="28"/>
          <w:lang w:val="en-US" w:eastAsia="zh-CN"/>
        </w:rPr>
        <w:t>8</w:t>
      </w:r>
      <w:r>
        <w:rPr>
          <w:rFonts w:hint="eastAsia" w:asciiTheme="minorEastAsia" w:hAnsiTheme="minorEastAsia" w:eastAsiaTheme="minorEastAsia" w:cstheme="minorEastAsia"/>
          <w:kern w:val="0"/>
          <w:sz w:val="28"/>
          <w:szCs w:val="28"/>
        </w:rPr>
        <w:t>0%；</w:t>
      </w:r>
      <w:r>
        <w:rPr>
          <w:rFonts w:hint="eastAsia" w:asciiTheme="minorEastAsia" w:hAnsiTheme="minorEastAsia" w:eastAsiaTheme="minorEastAsia" w:cstheme="minorEastAsia"/>
          <w:strike w:val="0"/>
          <w:dstrike w:val="0"/>
          <w:color w:val="auto"/>
          <w:kern w:val="0"/>
          <w:sz w:val="28"/>
          <w:szCs w:val="28"/>
          <w:highlight w:val="none"/>
          <w:lang w:val="en-US" w:eastAsia="zh-CN"/>
        </w:rPr>
        <w:t>安全设施设计通过专家验收后，</w:t>
      </w:r>
      <w:r>
        <w:rPr>
          <w:rFonts w:hint="eastAsia" w:asciiTheme="minorEastAsia" w:hAnsiTheme="minorEastAsia" w:eastAsiaTheme="minorEastAsia" w:cstheme="minorEastAsia"/>
          <w:kern w:val="0"/>
          <w:sz w:val="28"/>
          <w:szCs w:val="28"/>
        </w:rPr>
        <w:t>甲方支付至总工程款的95%；预留总工程款的5%作为质保金，质保期满一年且无质量异议后，甲方结清尾款。</w:t>
      </w:r>
    </w:p>
    <w:p w14:paraId="3AD5488A">
      <w:pPr>
        <w:adjustRightInd w:val="0"/>
        <w:snapToGrid w:val="0"/>
        <w:spacing w:line="540" w:lineRule="exact"/>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highlight w:val="yellow"/>
        </w:rPr>
        <w:t>4、付款方式：</w:t>
      </w:r>
      <w:r>
        <w:rPr>
          <w:rFonts w:hint="eastAsia" w:asciiTheme="minorEastAsia" w:hAnsiTheme="minorEastAsia" w:eastAsiaTheme="minorEastAsia" w:cstheme="minorEastAsia"/>
          <w:kern w:val="0"/>
          <w:sz w:val="28"/>
          <w:szCs w:val="28"/>
          <w:highlight w:val="yellow"/>
          <w:lang w:val="en-US" w:eastAsia="zh-CN"/>
        </w:rPr>
        <w:t>银行</w:t>
      </w:r>
      <w:r>
        <w:rPr>
          <w:rFonts w:hint="eastAsia" w:asciiTheme="minorEastAsia" w:hAnsiTheme="minorEastAsia" w:eastAsiaTheme="minorEastAsia" w:cstheme="minorEastAsia"/>
          <w:kern w:val="0"/>
          <w:sz w:val="28"/>
          <w:szCs w:val="28"/>
          <w:highlight w:val="yellow"/>
        </w:rPr>
        <w:t>承兑汇票</w:t>
      </w:r>
      <w:r>
        <w:rPr>
          <w:rFonts w:hint="eastAsia" w:asciiTheme="minorEastAsia" w:hAnsiTheme="minorEastAsia" w:eastAsiaTheme="minorEastAsia" w:cstheme="minorEastAsia"/>
          <w:kern w:val="0"/>
          <w:sz w:val="28"/>
          <w:szCs w:val="28"/>
          <w:highlight w:val="yellow"/>
          <w:lang w:eastAsia="zh-CN"/>
        </w:rPr>
        <w:t>，</w:t>
      </w:r>
      <w:r>
        <w:rPr>
          <w:rFonts w:hint="eastAsia" w:asciiTheme="minorEastAsia" w:hAnsiTheme="minorEastAsia" w:eastAsiaTheme="minorEastAsia" w:cstheme="minorEastAsia"/>
          <w:kern w:val="0"/>
          <w:sz w:val="28"/>
          <w:szCs w:val="28"/>
          <w:highlight w:val="yellow"/>
          <w:lang w:val="en-US" w:eastAsia="zh-CN"/>
        </w:rPr>
        <w:t>如需要支付现汇，供应商需要给采购人支付</w:t>
      </w:r>
      <w:r>
        <w:rPr>
          <w:rFonts w:hint="eastAsia" w:asciiTheme="minorEastAsia" w:hAnsiTheme="minorEastAsia" w:eastAsiaTheme="minorEastAsia" w:cstheme="minorEastAsia"/>
          <w:color w:val="auto"/>
          <w:kern w:val="0"/>
          <w:sz w:val="28"/>
          <w:szCs w:val="28"/>
          <w:highlight w:val="yellow"/>
          <w:lang w:val="en-US" w:eastAsia="zh-CN"/>
        </w:rPr>
        <w:t>2%贴现率</w:t>
      </w:r>
      <w:r>
        <w:rPr>
          <w:rFonts w:hint="eastAsia" w:asciiTheme="minorEastAsia" w:hAnsiTheme="minorEastAsia" w:eastAsiaTheme="minorEastAsia" w:cstheme="minorEastAsia"/>
          <w:kern w:val="0"/>
          <w:sz w:val="28"/>
          <w:szCs w:val="28"/>
          <w:highlight w:val="yellow"/>
        </w:rPr>
        <w:t>。</w:t>
      </w:r>
    </w:p>
    <w:p w14:paraId="0AA06A0C">
      <w:pPr>
        <w:spacing w:line="540" w:lineRule="exact"/>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七、施工质量要求</w:t>
      </w:r>
    </w:p>
    <w:p w14:paraId="10C460E7">
      <w:pPr>
        <w:adjustRightInd w:val="0"/>
        <w:snapToGrid w:val="0"/>
        <w:spacing w:line="540" w:lineRule="exact"/>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1、乙方提供的混凝土、</w:t>
      </w:r>
      <w:r>
        <w:rPr>
          <w:rFonts w:hint="eastAsia" w:asciiTheme="minorEastAsia" w:hAnsiTheme="minorEastAsia" w:eastAsiaTheme="minorEastAsia" w:cstheme="minorEastAsia"/>
          <w:kern w:val="0"/>
          <w:sz w:val="28"/>
          <w:szCs w:val="28"/>
          <w:lang w:eastAsia="zh-CN"/>
        </w:rPr>
        <w:t>围栏</w:t>
      </w:r>
      <w:r>
        <w:rPr>
          <w:rFonts w:hint="eastAsia" w:asciiTheme="minorEastAsia" w:hAnsiTheme="minorEastAsia" w:eastAsiaTheme="minorEastAsia" w:cstheme="minorEastAsia"/>
          <w:kern w:val="0"/>
          <w:sz w:val="28"/>
          <w:szCs w:val="28"/>
        </w:rPr>
        <w:t>网片、</w:t>
      </w:r>
      <w:r>
        <w:rPr>
          <w:rFonts w:hint="eastAsia" w:asciiTheme="minorEastAsia" w:hAnsiTheme="minorEastAsia" w:eastAsiaTheme="minorEastAsia" w:cstheme="minorEastAsia"/>
          <w:kern w:val="0"/>
          <w:sz w:val="28"/>
          <w:szCs w:val="28"/>
          <w:lang w:eastAsia="zh-CN"/>
        </w:rPr>
        <w:t>围栏</w:t>
      </w:r>
      <w:r>
        <w:rPr>
          <w:rFonts w:hint="eastAsia" w:asciiTheme="minorEastAsia" w:hAnsiTheme="minorEastAsia" w:eastAsiaTheme="minorEastAsia" w:cstheme="minorEastAsia"/>
          <w:kern w:val="0"/>
          <w:sz w:val="28"/>
          <w:szCs w:val="28"/>
        </w:rPr>
        <w:t>立柱、构配件等必须按有关规定提供质量合格证，经甲方检验合格后方可用于工程。</w:t>
      </w:r>
    </w:p>
    <w:p w14:paraId="12C4B2DC">
      <w:pPr>
        <w:adjustRightInd w:val="0"/>
        <w:snapToGrid w:val="0"/>
        <w:spacing w:line="540" w:lineRule="exact"/>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2、隐蔽工程必须经甲方派驻代表检查、验收合格后，方可进行下一道工序。</w:t>
      </w:r>
    </w:p>
    <w:p w14:paraId="7CF2BD58">
      <w:pPr>
        <w:adjustRightInd w:val="0"/>
        <w:snapToGrid w:val="0"/>
        <w:spacing w:line="540" w:lineRule="exact"/>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3、主要内容及要求</w:t>
      </w:r>
    </w:p>
    <w:tbl>
      <w:tblPr>
        <w:tblStyle w:val="11"/>
        <w:tblW w:w="7919"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1"/>
        <w:gridCol w:w="1476"/>
        <w:gridCol w:w="708"/>
        <w:gridCol w:w="5084"/>
      </w:tblGrid>
      <w:tr w14:paraId="30056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right"/>
        </w:trPr>
        <w:tc>
          <w:tcPr>
            <w:tcW w:w="651" w:type="dxa"/>
            <w:vAlign w:val="center"/>
          </w:tcPr>
          <w:p w14:paraId="24E6E925">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1476" w:type="dxa"/>
            <w:vAlign w:val="center"/>
          </w:tcPr>
          <w:p w14:paraId="5794087C">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分项内容</w:t>
            </w:r>
          </w:p>
        </w:tc>
        <w:tc>
          <w:tcPr>
            <w:tcW w:w="708" w:type="dxa"/>
            <w:vAlign w:val="center"/>
          </w:tcPr>
          <w:p w14:paraId="7A37DD18">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 位</w:t>
            </w:r>
          </w:p>
        </w:tc>
        <w:tc>
          <w:tcPr>
            <w:tcW w:w="5084" w:type="dxa"/>
            <w:tcBorders>
              <w:left w:val="single" w:color="auto" w:sz="4" w:space="0"/>
            </w:tcBorders>
            <w:vAlign w:val="center"/>
          </w:tcPr>
          <w:p w14:paraId="0597A712">
            <w:pPr>
              <w:ind w:firstLine="140" w:firstLineChars="5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要求</w:t>
            </w:r>
          </w:p>
        </w:tc>
      </w:tr>
      <w:tr w14:paraId="11177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right"/>
        </w:trPr>
        <w:tc>
          <w:tcPr>
            <w:tcW w:w="651" w:type="dxa"/>
            <w:vAlign w:val="center"/>
          </w:tcPr>
          <w:p w14:paraId="3993D434">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1476" w:type="dxa"/>
            <w:vAlign w:val="center"/>
          </w:tcPr>
          <w:p w14:paraId="1E5227DB">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网片</w:t>
            </w:r>
          </w:p>
        </w:tc>
        <w:tc>
          <w:tcPr>
            <w:tcW w:w="708" w:type="dxa"/>
            <w:vAlign w:val="center"/>
          </w:tcPr>
          <w:p w14:paraId="5F34196B">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片</w:t>
            </w:r>
          </w:p>
        </w:tc>
        <w:tc>
          <w:tcPr>
            <w:tcW w:w="5084" w:type="dxa"/>
            <w:tcBorders>
              <w:left w:val="single" w:color="auto" w:sz="4" w:space="0"/>
            </w:tcBorders>
            <w:vAlign w:val="center"/>
          </w:tcPr>
          <w:p w14:paraId="67AD8BC7">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丝网</w:t>
            </w:r>
            <w:r>
              <w:rPr>
                <w:rFonts w:hint="eastAsia" w:asciiTheme="minorEastAsia" w:hAnsiTheme="minorEastAsia" w:eastAsiaTheme="minorEastAsia" w:cstheme="minorEastAsia"/>
                <w:color w:val="000000"/>
                <w:sz w:val="28"/>
                <w:szCs w:val="28"/>
                <w:shd w:val="clear" w:color="auto" w:fill="FFFFFF"/>
              </w:rPr>
              <w:t>镀锌并</w:t>
            </w:r>
            <w:r>
              <w:rPr>
                <w:rFonts w:hint="eastAsia" w:asciiTheme="minorEastAsia" w:hAnsiTheme="minorEastAsia" w:eastAsiaTheme="minorEastAsia" w:cstheme="minorEastAsia"/>
                <w:sz w:val="28"/>
                <w:szCs w:val="28"/>
              </w:rPr>
              <w:t xml:space="preserve">浸塑；每片2920mm*1800mm； </w:t>
            </w:r>
          </w:p>
          <w:p w14:paraId="25E16760">
            <w:pPr>
              <w:spacing w:line="360" w:lineRule="exact"/>
              <w:jc w:val="center"/>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rPr>
              <w:t>丝径4.0mm，网孔90mm*170mm</w:t>
            </w:r>
          </w:p>
        </w:tc>
      </w:tr>
      <w:tr w14:paraId="608EA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right"/>
        </w:trPr>
        <w:tc>
          <w:tcPr>
            <w:tcW w:w="651" w:type="dxa"/>
            <w:vAlign w:val="center"/>
          </w:tcPr>
          <w:p w14:paraId="32AF6313">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1476" w:type="dxa"/>
            <w:vAlign w:val="center"/>
          </w:tcPr>
          <w:p w14:paraId="12963FFC">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预埋钢管</w:t>
            </w:r>
          </w:p>
          <w:p w14:paraId="51254672">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立柱</w:t>
            </w:r>
          </w:p>
        </w:tc>
        <w:tc>
          <w:tcPr>
            <w:tcW w:w="708" w:type="dxa"/>
            <w:vAlign w:val="center"/>
          </w:tcPr>
          <w:p w14:paraId="1AE8610D">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w:t>
            </w:r>
          </w:p>
        </w:tc>
        <w:tc>
          <w:tcPr>
            <w:tcW w:w="5084" w:type="dxa"/>
            <w:tcBorders>
              <w:left w:val="single" w:color="auto" w:sz="4" w:space="0"/>
            </w:tcBorders>
            <w:vAlign w:val="center"/>
          </w:tcPr>
          <w:p w14:paraId="04255588">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shd w:val="clear" w:color="auto" w:fill="FFFFFF"/>
              </w:rPr>
              <w:t>Φ48mm*3mm圆管镀锌并浸塑，总长度：2.1m，埋深300mm，立柱间距：3m。</w:t>
            </w:r>
          </w:p>
        </w:tc>
      </w:tr>
      <w:tr w14:paraId="0DCAE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right"/>
        </w:trPr>
        <w:tc>
          <w:tcPr>
            <w:tcW w:w="651" w:type="dxa"/>
            <w:vAlign w:val="center"/>
          </w:tcPr>
          <w:p w14:paraId="57CFCB76">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1476" w:type="dxa"/>
            <w:vAlign w:val="center"/>
          </w:tcPr>
          <w:p w14:paraId="3CC791DF">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砼基础</w:t>
            </w:r>
          </w:p>
        </w:tc>
        <w:tc>
          <w:tcPr>
            <w:tcW w:w="708" w:type="dxa"/>
            <w:vAlign w:val="center"/>
          </w:tcPr>
          <w:p w14:paraId="43AFADAA">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组</w:t>
            </w:r>
          </w:p>
        </w:tc>
        <w:tc>
          <w:tcPr>
            <w:tcW w:w="5084" w:type="dxa"/>
            <w:tcBorders>
              <w:left w:val="single" w:color="auto" w:sz="4" w:space="0"/>
            </w:tcBorders>
            <w:vAlign w:val="center"/>
          </w:tcPr>
          <w:p w14:paraId="6CA28E40">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挖运土石方，支模板，浇筑C25砼基础，基础400mm*400mm*500mm。</w:t>
            </w:r>
          </w:p>
        </w:tc>
      </w:tr>
    </w:tbl>
    <w:p w14:paraId="2D6457A1">
      <w:pPr>
        <w:spacing w:line="54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color w:val="000000"/>
          <w:sz w:val="28"/>
          <w:szCs w:val="28"/>
        </w:rPr>
        <w:t>4</w:t>
      </w:r>
      <w:r>
        <w:rPr>
          <w:rFonts w:hint="eastAsia" w:asciiTheme="minorEastAsia" w:hAnsiTheme="minorEastAsia" w:eastAsiaTheme="minorEastAsia" w:cstheme="minorEastAsia"/>
          <w:color w:val="000000"/>
          <w:sz w:val="28"/>
          <w:szCs w:val="28"/>
        </w:rPr>
        <w:t>、工程质量标准：合格</w:t>
      </w:r>
    </w:p>
    <w:p w14:paraId="32F16157">
      <w:pPr>
        <w:pStyle w:val="10"/>
        <w:shd w:val="clear" w:color="auto" w:fill="FFFFFF"/>
        <w:spacing w:before="0" w:beforeAutospacing="0" w:after="0" w:afterAutospacing="0" w:line="540" w:lineRule="exact"/>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八、质保期</w:t>
      </w:r>
    </w:p>
    <w:p w14:paraId="622DB6E8">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color w:val="333333"/>
          <w:spacing w:val="8"/>
          <w:sz w:val="28"/>
          <w:szCs w:val="28"/>
        </w:rPr>
      </w:pPr>
      <w:r>
        <w:rPr>
          <w:rFonts w:hint="eastAsia" w:asciiTheme="minorEastAsia" w:hAnsiTheme="minorEastAsia" w:eastAsiaTheme="minorEastAsia" w:cstheme="minorEastAsia"/>
          <w:color w:val="000000"/>
          <w:sz w:val="28"/>
          <w:szCs w:val="28"/>
        </w:rPr>
        <w:t>质保期1年。</w:t>
      </w:r>
      <w:r>
        <w:rPr>
          <w:rFonts w:hint="eastAsia" w:asciiTheme="minorEastAsia" w:hAnsiTheme="minorEastAsia" w:eastAsiaTheme="minorEastAsia" w:cstheme="minorEastAsia"/>
          <w:color w:val="333333"/>
          <w:spacing w:val="8"/>
          <w:sz w:val="28"/>
          <w:szCs w:val="28"/>
        </w:rPr>
        <w:t>在质保期内，凡因施工造成的质量事故和质量缺陷应由乙方无偿保修，否则不予支付质保金。</w:t>
      </w:r>
    </w:p>
    <w:p w14:paraId="7659FB66">
      <w:pPr>
        <w:pStyle w:val="10"/>
        <w:shd w:val="clear" w:color="auto" w:fill="FFFFFF"/>
        <w:spacing w:before="0" w:beforeAutospacing="0" w:after="0" w:afterAutospacing="0" w:line="540" w:lineRule="exact"/>
        <w:rPr>
          <w:rFonts w:hint="eastAsia" w:asciiTheme="minorEastAsia" w:hAnsiTheme="minorEastAsia" w:eastAsiaTheme="minorEastAsia" w:cstheme="minorEastAsia"/>
          <w:color w:val="333333"/>
          <w:spacing w:val="8"/>
          <w:sz w:val="28"/>
          <w:szCs w:val="28"/>
        </w:rPr>
      </w:pPr>
      <w:r>
        <w:rPr>
          <w:rFonts w:hint="eastAsia" w:asciiTheme="minorEastAsia" w:hAnsiTheme="minorEastAsia" w:eastAsiaTheme="minorEastAsia" w:cstheme="minorEastAsia"/>
          <w:b/>
          <w:bCs/>
          <w:color w:val="333333"/>
          <w:spacing w:val="8"/>
          <w:sz w:val="28"/>
          <w:szCs w:val="28"/>
        </w:rPr>
        <w:t>九、履约金的交纳及返还办法</w:t>
      </w:r>
    </w:p>
    <w:p w14:paraId="30F14D7B">
      <w:pPr>
        <w:pStyle w:val="10"/>
        <w:shd w:val="clear" w:color="auto" w:fill="FFFFFF"/>
        <w:spacing w:before="0" w:beforeAutospacing="0" w:after="0" w:afterAutospacing="0" w:line="540" w:lineRule="exact"/>
        <w:ind w:firstLine="592" w:firstLineChars="200"/>
        <w:rPr>
          <w:rFonts w:hint="eastAsia" w:asciiTheme="minorEastAsia" w:hAnsiTheme="minorEastAsia" w:eastAsiaTheme="minorEastAsia" w:cstheme="minorEastAsia"/>
          <w:color w:val="333333"/>
          <w:spacing w:val="8"/>
          <w:sz w:val="28"/>
          <w:szCs w:val="28"/>
        </w:rPr>
      </w:pPr>
      <w:r>
        <w:rPr>
          <w:rFonts w:hint="eastAsia" w:asciiTheme="minorEastAsia" w:hAnsiTheme="minorEastAsia" w:eastAsiaTheme="minorEastAsia" w:cstheme="minorEastAsia"/>
          <w:color w:val="333333"/>
          <w:spacing w:val="8"/>
          <w:sz w:val="28"/>
          <w:szCs w:val="28"/>
        </w:rPr>
        <w:t>1、合同签订时，乙方向甲方交纳履约保证金人民币</w:t>
      </w:r>
      <w:r>
        <w:rPr>
          <w:rFonts w:hint="eastAsia" w:asciiTheme="minorEastAsia" w:hAnsiTheme="minorEastAsia" w:eastAsiaTheme="minorEastAsia" w:cstheme="minorEastAsia"/>
          <w:color w:val="333333"/>
          <w:spacing w:val="8"/>
          <w:sz w:val="28"/>
          <w:szCs w:val="28"/>
          <w:highlight w:val="yellow"/>
          <w:lang w:eastAsia="zh-CN"/>
        </w:rPr>
        <w:t>（</w:t>
      </w:r>
      <w:r>
        <w:rPr>
          <w:rFonts w:hint="eastAsia" w:asciiTheme="minorEastAsia" w:hAnsiTheme="minorEastAsia" w:eastAsiaTheme="minorEastAsia" w:cstheme="minorEastAsia"/>
          <w:color w:val="333333"/>
          <w:spacing w:val="8"/>
          <w:sz w:val="28"/>
          <w:szCs w:val="28"/>
          <w:highlight w:val="yellow"/>
          <w:lang w:val="en-US" w:eastAsia="zh-CN"/>
        </w:rPr>
        <w:t>成交价的5%</w:t>
      </w:r>
      <w:r>
        <w:rPr>
          <w:rFonts w:hint="eastAsia" w:asciiTheme="minorEastAsia" w:hAnsiTheme="minorEastAsia" w:eastAsiaTheme="minorEastAsia" w:cstheme="minorEastAsia"/>
          <w:color w:val="333333"/>
          <w:spacing w:val="8"/>
          <w:sz w:val="28"/>
          <w:szCs w:val="28"/>
          <w:highlight w:val="yellow"/>
          <w:lang w:eastAsia="zh-CN"/>
        </w:rPr>
        <w:t>）</w:t>
      </w:r>
      <w:r>
        <w:rPr>
          <w:rFonts w:hint="eastAsia" w:asciiTheme="minorEastAsia" w:hAnsiTheme="minorEastAsia" w:eastAsiaTheme="minorEastAsia" w:cstheme="minorEastAsia"/>
          <w:color w:val="333333"/>
          <w:spacing w:val="8"/>
          <w:sz w:val="28"/>
          <w:szCs w:val="28"/>
          <w:highlight w:val="none"/>
          <w:lang w:val="en-US" w:eastAsia="zh-CN"/>
        </w:rPr>
        <w:t xml:space="preserve">    </w:t>
      </w:r>
      <w:r>
        <w:rPr>
          <w:rFonts w:hint="eastAsia" w:asciiTheme="minorEastAsia" w:hAnsiTheme="minorEastAsia" w:eastAsiaTheme="minorEastAsia" w:cstheme="minorEastAsia"/>
          <w:color w:val="333333"/>
          <w:spacing w:val="8"/>
          <w:sz w:val="28"/>
          <w:szCs w:val="28"/>
        </w:rPr>
        <w:t xml:space="preserve"> </w:t>
      </w:r>
    </w:p>
    <w:p w14:paraId="586E9C01">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color w:val="333333"/>
          <w:spacing w:val="8"/>
          <w:sz w:val="28"/>
          <w:szCs w:val="28"/>
        </w:rPr>
      </w:pPr>
      <w:r>
        <w:rPr>
          <w:rFonts w:hint="eastAsia" w:asciiTheme="minorEastAsia" w:hAnsiTheme="minorEastAsia" w:eastAsiaTheme="minorEastAsia" w:cstheme="minorEastAsia"/>
          <w:sz w:val="28"/>
          <w:szCs w:val="28"/>
        </w:rPr>
        <w:t>2、竣工验收合格后，甲方无息退回乙方账户</w:t>
      </w:r>
    </w:p>
    <w:p w14:paraId="5BA5849B">
      <w:pPr>
        <w:pStyle w:val="10"/>
        <w:shd w:val="clear" w:color="auto" w:fill="FFFFFF"/>
        <w:spacing w:before="0" w:beforeAutospacing="0" w:after="0" w:afterAutospacing="0" w:line="540" w:lineRule="exact"/>
        <w:rPr>
          <w:rFonts w:hint="eastAsia" w:asciiTheme="minorEastAsia" w:hAnsiTheme="minorEastAsia" w:eastAsiaTheme="minorEastAsia" w:cstheme="minorEastAsia"/>
          <w:b/>
          <w:bCs/>
          <w:color w:val="333333"/>
          <w:spacing w:val="8"/>
          <w:sz w:val="28"/>
          <w:szCs w:val="28"/>
        </w:rPr>
      </w:pPr>
      <w:r>
        <w:rPr>
          <w:rFonts w:hint="eastAsia" w:asciiTheme="minorEastAsia" w:hAnsiTheme="minorEastAsia" w:eastAsiaTheme="minorEastAsia" w:cstheme="minorEastAsia"/>
          <w:b/>
          <w:bCs/>
          <w:color w:val="333333"/>
          <w:spacing w:val="8"/>
          <w:sz w:val="28"/>
          <w:szCs w:val="28"/>
        </w:rPr>
        <w:t>十、安全风险抵押金的交纳及返还办法</w:t>
      </w:r>
    </w:p>
    <w:p w14:paraId="10CD2FC5">
      <w:pPr>
        <w:pStyle w:val="10"/>
        <w:shd w:val="clear" w:color="auto" w:fill="FFFFFF"/>
        <w:spacing w:before="0" w:beforeAutospacing="0" w:after="0" w:afterAutospacing="0" w:line="540" w:lineRule="exact"/>
        <w:ind w:firstLine="592" w:firstLineChars="200"/>
        <w:rPr>
          <w:rFonts w:hint="eastAsia" w:asciiTheme="minorEastAsia" w:hAnsiTheme="minorEastAsia" w:eastAsiaTheme="minorEastAsia" w:cstheme="minorEastAsia"/>
          <w:bCs/>
          <w:color w:val="333333"/>
          <w:spacing w:val="8"/>
          <w:sz w:val="28"/>
          <w:szCs w:val="28"/>
        </w:rPr>
      </w:pPr>
      <w:r>
        <w:rPr>
          <w:rFonts w:hint="eastAsia" w:asciiTheme="minorEastAsia" w:hAnsiTheme="minorEastAsia" w:eastAsiaTheme="minorEastAsia" w:cstheme="minorEastAsia"/>
          <w:color w:val="333333"/>
          <w:spacing w:val="8"/>
          <w:sz w:val="28"/>
          <w:szCs w:val="28"/>
        </w:rPr>
        <w:t>1、合同签订时，乙方向甲方交纳安全风险抵押金人民币</w:t>
      </w:r>
      <w:r>
        <w:rPr>
          <w:rFonts w:hint="eastAsia" w:asciiTheme="minorEastAsia" w:hAnsiTheme="minorEastAsia" w:eastAsiaTheme="minorEastAsia" w:cstheme="minorEastAsia"/>
          <w:color w:val="333333"/>
          <w:spacing w:val="8"/>
          <w:sz w:val="28"/>
          <w:szCs w:val="28"/>
          <w:highlight w:val="yellow"/>
        </w:rPr>
        <w:t>贰万元整</w:t>
      </w:r>
      <w:r>
        <w:rPr>
          <w:rFonts w:hint="eastAsia" w:asciiTheme="minorEastAsia" w:hAnsiTheme="minorEastAsia" w:eastAsiaTheme="minorEastAsia" w:cstheme="minorEastAsia"/>
          <w:color w:val="333333"/>
          <w:spacing w:val="8"/>
          <w:sz w:val="28"/>
          <w:szCs w:val="28"/>
        </w:rPr>
        <w:t>。</w:t>
      </w:r>
    </w:p>
    <w:p w14:paraId="60A25337">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bCs/>
          <w:color w:val="333333"/>
          <w:spacing w:val="8"/>
          <w:sz w:val="28"/>
          <w:szCs w:val="28"/>
        </w:rPr>
      </w:pPr>
      <w:r>
        <w:rPr>
          <w:rFonts w:hint="eastAsia" w:asciiTheme="minorEastAsia" w:hAnsiTheme="minorEastAsia" w:eastAsiaTheme="minorEastAsia" w:cstheme="minorEastAsia"/>
          <w:sz w:val="28"/>
          <w:szCs w:val="28"/>
        </w:rPr>
        <w:t>2、竣工验收合格后，甲方无息退回乙方账户</w:t>
      </w:r>
    </w:p>
    <w:p w14:paraId="1F9C2FEC">
      <w:pPr>
        <w:pStyle w:val="10"/>
        <w:shd w:val="clear" w:color="auto" w:fill="FFFFFF"/>
        <w:spacing w:before="0" w:beforeAutospacing="0" w:after="0" w:afterAutospacing="0" w:line="540" w:lineRule="exact"/>
        <w:rPr>
          <w:rFonts w:hint="default" w:asciiTheme="minorEastAsia" w:hAnsiTheme="minorEastAsia" w:eastAsiaTheme="minorEastAsia" w:cstheme="minorEastAsia"/>
          <w:b/>
          <w:bCs w:val="0"/>
          <w:color w:val="333333"/>
          <w:spacing w:val="8"/>
          <w:sz w:val="28"/>
          <w:szCs w:val="28"/>
          <w:lang w:val="en-US" w:eastAsia="zh-CN"/>
        </w:rPr>
      </w:pPr>
      <w:r>
        <w:rPr>
          <w:rFonts w:hint="eastAsia" w:asciiTheme="minorEastAsia" w:hAnsiTheme="minorEastAsia" w:eastAsiaTheme="minorEastAsia" w:cstheme="minorEastAsia"/>
          <w:b/>
          <w:bCs w:val="0"/>
          <w:color w:val="333333"/>
          <w:spacing w:val="8"/>
          <w:sz w:val="28"/>
          <w:szCs w:val="28"/>
        </w:rPr>
        <w:t>十一、</w:t>
      </w:r>
      <w:r>
        <w:rPr>
          <w:rFonts w:hint="eastAsia" w:asciiTheme="minorEastAsia" w:hAnsiTheme="minorEastAsia" w:eastAsiaTheme="minorEastAsia" w:cstheme="minorEastAsia"/>
          <w:b/>
          <w:bCs w:val="0"/>
          <w:color w:val="333333"/>
          <w:spacing w:val="8"/>
          <w:sz w:val="28"/>
          <w:szCs w:val="28"/>
          <w:lang w:val="en-US" w:eastAsia="zh-CN"/>
        </w:rPr>
        <w:t>甲乙</w:t>
      </w:r>
      <w:r>
        <w:rPr>
          <w:rFonts w:hint="eastAsia" w:asciiTheme="minorEastAsia" w:hAnsiTheme="minorEastAsia" w:eastAsiaTheme="minorEastAsia" w:cstheme="minorEastAsia"/>
          <w:b/>
          <w:bCs w:val="0"/>
          <w:color w:val="333333"/>
          <w:spacing w:val="8"/>
          <w:sz w:val="28"/>
          <w:szCs w:val="28"/>
        </w:rPr>
        <w:t>双方</w:t>
      </w:r>
      <w:r>
        <w:rPr>
          <w:rFonts w:hint="eastAsia" w:asciiTheme="minorEastAsia" w:hAnsiTheme="minorEastAsia" w:eastAsiaTheme="minorEastAsia" w:cstheme="minorEastAsia"/>
          <w:b/>
          <w:bCs w:val="0"/>
          <w:color w:val="333333"/>
          <w:spacing w:val="8"/>
          <w:sz w:val="28"/>
          <w:szCs w:val="28"/>
          <w:lang w:val="en-US" w:eastAsia="zh-CN"/>
        </w:rPr>
        <w:t>的权利义务</w:t>
      </w:r>
    </w:p>
    <w:p w14:paraId="59FBD699">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甲方</w:t>
      </w:r>
      <w:r>
        <w:rPr>
          <w:rFonts w:hint="eastAsia" w:asciiTheme="minorEastAsia" w:hAnsiTheme="minorEastAsia" w:eastAsiaTheme="minorEastAsia" w:cstheme="minorEastAsia"/>
          <w:snapToGrid w:val="0"/>
          <w:color w:val="000000"/>
          <w:kern w:val="0"/>
          <w:sz w:val="28"/>
          <w:szCs w:val="28"/>
          <w:lang w:val="en-US" w:eastAsia="zh-CN" w:bidi="ar-SA"/>
        </w:rPr>
        <w:t>的权利义务</w:t>
      </w:r>
      <w:r>
        <w:rPr>
          <w:rFonts w:hint="eastAsia" w:asciiTheme="minorEastAsia" w:hAnsiTheme="minorEastAsia" w:eastAsiaTheme="minorEastAsia" w:cstheme="minorEastAsia"/>
          <w:snapToGrid w:val="0"/>
          <w:color w:val="000000"/>
          <w:kern w:val="0"/>
          <w:sz w:val="28"/>
          <w:szCs w:val="28"/>
          <w:lang w:val="en-US" w:eastAsia="en-US" w:bidi="ar-SA"/>
        </w:rPr>
        <w:t>：</w:t>
      </w:r>
    </w:p>
    <w:p w14:paraId="0516F466">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1、组织对工程质量检查监督、隐蔽工程检查验收及工程竣工验收。</w:t>
      </w:r>
    </w:p>
    <w:p w14:paraId="71A41EE5">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2、按合同约定办理结算和支付工程款。</w:t>
      </w:r>
    </w:p>
    <w:p w14:paraId="2DCC3EF8">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乙方</w:t>
      </w:r>
      <w:r>
        <w:rPr>
          <w:rFonts w:hint="eastAsia" w:asciiTheme="minorEastAsia" w:hAnsiTheme="minorEastAsia" w:eastAsiaTheme="minorEastAsia" w:cstheme="minorEastAsia"/>
          <w:snapToGrid w:val="0"/>
          <w:color w:val="000000"/>
          <w:kern w:val="0"/>
          <w:sz w:val="28"/>
          <w:szCs w:val="28"/>
          <w:lang w:val="en-US" w:eastAsia="zh-CN" w:bidi="ar-SA"/>
        </w:rPr>
        <w:t>的权利义务</w:t>
      </w:r>
      <w:r>
        <w:rPr>
          <w:rFonts w:hint="eastAsia" w:asciiTheme="minorEastAsia" w:hAnsiTheme="minorEastAsia" w:eastAsiaTheme="minorEastAsia" w:cstheme="minorEastAsia"/>
          <w:snapToGrid w:val="0"/>
          <w:color w:val="000000"/>
          <w:kern w:val="0"/>
          <w:sz w:val="28"/>
          <w:szCs w:val="28"/>
          <w:lang w:val="en-US" w:eastAsia="en-US" w:bidi="ar-SA"/>
        </w:rPr>
        <w:t>：</w:t>
      </w:r>
    </w:p>
    <w:p w14:paraId="57A8780B">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1、制定专人为乙方驻工地现场负责人，全权代表承包人履行合同，协调解决乙方责任范围内的各项事宜；按有关要求组织施工，按期、按质、按量完成施工任务。</w:t>
      </w:r>
    </w:p>
    <w:p w14:paraId="268E1B84">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现场负责人必须常驻施工现场，每月不得少于22天，未经甲方批准，擅自离开施工现场，在当月的工程进度款中按2000元/天扣罚。非经发包人书面同意不得更换，否则，按违约处理。</w:t>
      </w:r>
    </w:p>
    <w:p w14:paraId="32D82E8A">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2、负责施工场地的临时设施、临时道路的修建。</w:t>
      </w:r>
    </w:p>
    <w:p w14:paraId="6CDDC340">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zh-CN" w:bidi="ar-SA"/>
        </w:rPr>
      </w:pPr>
      <w:r>
        <w:rPr>
          <w:rFonts w:hint="eastAsia" w:asciiTheme="minorEastAsia" w:hAnsiTheme="minorEastAsia" w:eastAsiaTheme="minorEastAsia" w:cstheme="minorEastAsia"/>
          <w:snapToGrid w:val="0"/>
          <w:color w:val="000000"/>
          <w:kern w:val="0"/>
          <w:sz w:val="28"/>
          <w:szCs w:val="28"/>
          <w:lang w:val="en-US" w:eastAsia="en-US" w:bidi="ar-SA"/>
        </w:rPr>
        <w:t>3、负责项目施工</w:t>
      </w:r>
      <w:r>
        <w:rPr>
          <w:rFonts w:hint="eastAsia" w:asciiTheme="minorEastAsia" w:hAnsiTheme="minorEastAsia" w:eastAsiaTheme="minorEastAsia" w:cstheme="minorEastAsia"/>
          <w:snapToGrid w:val="0"/>
          <w:color w:val="000000"/>
          <w:kern w:val="0"/>
          <w:sz w:val="28"/>
          <w:szCs w:val="28"/>
          <w:lang w:val="en-US" w:eastAsia="zh-CN" w:bidi="ar-SA"/>
        </w:rPr>
        <w:t>期间</w:t>
      </w:r>
      <w:r>
        <w:rPr>
          <w:rFonts w:hint="eastAsia" w:asciiTheme="minorEastAsia" w:hAnsiTheme="minorEastAsia" w:eastAsiaTheme="minorEastAsia" w:cstheme="minorEastAsia"/>
          <w:snapToGrid w:val="0"/>
          <w:color w:val="000000"/>
          <w:kern w:val="0"/>
          <w:sz w:val="28"/>
          <w:szCs w:val="28"/>
          <w:lang w:val="en-US" w:eastAsia="en-US" w:bidi="ar-SA"/>
        </w:rPr>
        <w:t>周边</w:t>
      </w:r>
      <w:r>
        <w:rPr>
          <w:rFonts w:hint="eastAsia" w:asciiTheme="minorEastAsia" w:hAnsiTheme="minorEastAsia" w:eastAsiaTheme="minorEastAsia" w:cstheme="minorEastAsia"/>
          <w:snapToGrid w:val="0"/>
          <w:color w:val="000000"/>
          <w:kern w:val="0"/>
          <w:sz w:val="28"/>
          <w:szCs w:val="28"/>
          <w:lang w:val="en-US" w:eastAsia="zh-CN" w:bidi="ar-SA"/>
        </w:rPr>
        <w:t>村民</w:t>
      </w:r>
      <w:r>
        <w:rPr>
          <w:rFonts w:hint="eastAsia" w:asciiTheme="minorEastAsia" w:hAnsiTheme="minorEastAsia" w:eastAsiaTheme="minorEastAsia" w:cstheme="minorEastAsia"/>
          <w:snapToGrid w:val="0"/>
          <w:color w:val="000000"/>
          <w:kern w:val="0"/>
          <w:sz w:val="28"/>
          <w:szCs w:val="28"/>
          <w:lang w:val="en-US" w:eastAsia="en-US" w:bidi="ar-SA"/>
        </w:rPr>
        <w:t>关系的协调与处理，并承担由此而发生的各项费用。</w:t>
      </w:r>
      <w:r>
        <w:rPr>
          <w:rFonts w:hint="eastAsia" w:asciiTheme="minorEastAsia" w:hAnsiTheme="minorEastAsia" w:eastAsiaTheme="minorEastAsia" w:cstheme="minorEastAsia"/>
          <w:snapToGrid w:val="0"/>
          <w:color w:val="000000"/>
          <w:kern w:val="0"/>
          <w:sz w:val="28"/>
          <w:szCs w:val="28"/>
          <w:lang w:val="en-US" w:eastAsia="zh-CN" w:bidi="ar-SA"/>
        </w:rPr>
        <w:t>若</w:t>
      </w:r>
      <w:r>
        <w:rPr>
          <w:rFonts w:hint="eastAsia" w:asciiTheme="minorEastAsia" w:hAnsiTheme="minorEastAsia" w:eastAsiaTheme="minorEastAsia" w:cstheme="minorEastAsia"/>
          <w:snapToGrid w:val="0"/>
          <w:color w:val="000000"/>
          <w:kern w:val="0"/>
          <w:sz w:val="28"/>
          <w:szCs w:val="28"/>
          <w:lang w:val="en-US" w:eastAsia="en-US" w:bidi="ar-SA"/>
        </w:rPr>
        <w:t>因无法解决村民纠纷，导致</w:t>
      </w:r>
      <w:r>
        <w:rPr>
          <w:rFonts w:hint="eastAsia" w:asciiTheme="minorEastAsia" w:hAnsiTheme="minorEastAsia" w:eastAsiaTheme="minorEastAsia" w:cstheme="minorEastAsia"/>
          <w:snapToGrid w:val="0"/>
          <w:color w:val="000000"/>
          <w:kern w:val="0"/>
          <w:sz w:val="28"/>
          <w:szCs w:val="28"/>
          <w:lang w:val="en-US" w:eastAsia="zh-CN" w:bidi="ar-SA"/>
        </w:rPr>
        <w:t>项目延期</w:t>
      </w:r>
      <w:r>
        <w:rPr>
          <w:rFonts w:hint="eastAsia" w:asciiTheme="minorEastAsia" w:hAnsiTheme="minorEastAsia" w:eastAsiaTheme="minorEastAsia" w:cstheme="minorEastAsia"/>
          <w:snapToGrid w:val="0"/>
          <w:color w:val="000000"/>
          <w:kern w:val="0"/>
          <w:sz w:val="28"/>
          <w:szCs w:val="28"/>
          <w:lang w:val="en-US" w:eastAsia="en-US" w:bidi="ar-SA"/>
        </w:rPr>
        <w:t>，甲方有权终止合同，不支付任何费用，</w:t>
      </w:r>
      <w:r>
        <w:rPr>
          <w:rFonts w:hint="eastAsia" w:asciiTheme="minorEastAsia" w:hAnsiTheme="minorEastAsia" w:eastAsiaTheme="minorEastAsia" w:cstheme="minorEastAsia"/>
          <w:snapToGrid w:val="0"/>
          <w:color w:val="000000"/>
          <w:kern w:val="0"/>
          <w:sz w:val="28"/>
          <w:szCs w:val="28"/>
          <w:lang w:val="en-US" w:eastAsia="zh-CN" w:bidi="ar-SA"/>
        </w:rPr>
        <w:t>并由</w:t>
      </w:r>
      <w:r>
        <w:rPr>
          <w:rFonts w:hint="eastAsia" w:asciiTheme="minorEastAsia" w:hAnsiTheme="minorEastAsia" w:eastAsiaTheme="minorEastAsia" w:cstheme="minorEastAsia"/>
          <w:snapToGrid w:val="0"/>
          <w:color w:val="000000"/>
          <w:kern w:val="0"/>
          <w:sz w:val="28"/>
          <w:szCs w:val="28"/>
          <w:lang w:val="en-US" w:eastAsia="en-US" w:bidi="ar-SA"/>
        </w:rPr>
        <w:t>乙方承担由此给甲方造成的所有</w:t>
      </w:r>
      <w:r>
        <w:rPr>
          <w:rFonts w:hint="eastAsia" w:asciiTheme="minorEastAsia" w:hAnsiTheme="minorEastAsia" w:eastAsiaTheme="minorEastAsia" w:cstheme="minorEastAsia"/>
          <w:snapToGrid w:val="0"/>
          <w:color w:val="000000"/>
          <w:kern w:val="0"/>
          <w:sz w:val="28"/>
          <w:szCs w:val="28"/>
          <w:lang w:val="en-US" w:eastAsia="zh-CN" w:bidi="ar-SA"/>
        </w:rPr>
        <w:t>损失。</w:t>
      </w:r>
    </w:p>
    <w:p w14:paraId="69B28BF0">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4、乙方自行安排食宿、水电等。</w:t>
      </w:r>
    </w:p>
    <w:p w14:paraId="4E1A2ADF">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5、冬季期间施工的措施费用由承包人自行考虑，不得因此向发包人提出费用的增加及工期的顺延要求。</w:t>
      </w:r>
    </w:p>
    <w:p w14:paraId="68C19682">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6、提供施工报建所需的证照和资料。</w:t>
      </w:r>
    </w:p>
    <w:p w14:paraId="0D9C0260">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7、服从甲方统一管理，在施工中遵守甲方的管理制度。</w:t>
      </w:r>
    </w:p>
    <w:p w14:paraId="5A0FEAA9">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8、规范建筑市场行为，不得拖欠和克扣民工工资。否则，甲方有权从工程款中直接扣除。</w:t>
      </w:r>
    </w:p>
    <w:p w14:paraId="655394A5">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9、严格执行有关施工规范、安全操作规程、防火安全规定和环境保护规定；严格按照图纸施工，做好各项质量检查记录并随时接受甲方及安全检查人员的监督检查；严格按安全标准组织施工，采取必要的安全防护措施，消除事故隐患；乙方自行负责施工人员的安全，发生任何意外事故或安全事故，均由乙方全权负责。</w:t>
      </w:r>
    </w:p>
    <w:p w14:paraId="1B271A04">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10、在质保期内，发生一般质量问题，乙方应在接到修理通知之日起三天内派人修理；如发生须紧急抢修的事故,乙方接到事故通知后，应立即到达事故现场抢修。如乙方不在约定期限内派人修理，甲方可委托他人修理，修理费用从质保金内扣除。质保金不足扣除的，由乙方另行支付。</w:t>
      </w:r>
    </w:p>
    <w:p w14:paraId="6DD0C6D0">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zh-CN" w:bidi="ar-SA"/>
        </w:rPr>
      </w:pPr>
      <w:r>
        <w:rPr>
          <w:rFonts w:hint="eastAsia" w:asciiTheme="minorEastAsia" w:hAnsiTheme="minorEastAsia" w:eastAsiaTheme="minorEastAsia" w:cstheme="minorEastAsia"/>
          <w:snapToGrid w:val="0"/>
          <w:color w:val="000000"/>
          <w:kern w:val="0"/>
          <w:sz w:val="28"/>
          <w:szCs w:val="28"/>
          <w:lang w:val="en-US" w:eastAsia="zh-CN" w:bidi="ar-SA"/>
        </w:rPr>
        <w:t>11、</w:t>
      </w:r>
      <w:r>
        <w:rPr>
          <w:rFonts w:hint="eastAsia" w:asciiTheme="minorEastAsia" w:hAnsiTheme="minorEastAsia" w:eastAsiaTheme="minorEastAsia" w:cstheme="minorEastAsia"/>
          <w:snapToGrid w:val="0"/>
          <w:color w:val="000000"/>
          <w:kern w:val="0"/>
          <w:sz w:val="28"/>
          <w:szCs w:val="28"/>
          <w:lang w:val="en-US" w:eastAsia="en-US" w:bidi="ar-SA"/>
        </w:rPr>
        <w:t>因乙方施工质量问题给甲方造成损失或其它预期利益损害的，以及因质量问题造成其他人身和财产损害的，乙方承担全部的赔偿责任，不受质保期的限制。</w:t>
      </w:r>
    </w:p>
    <w:p w14:paraId="7E0D8EF9">
      <w:pPr>
        <w:pStyle w:val="10"/>
        <w:shd w:val="clear" w:color="auto" w:fill="FFFFFF"/>
        <w:spacing w:before="0" w:beforeAutospacing="0" w:after="0" w:afterAutospacing="0" w:line="540" w:lineRule="exact"/>
        <w:rPr>
          <w:rFonts w:hint="eastAsia" w:asciiTheme="minorEastAsia" w:hAnsiTheme="minorEastAsia" w:eastAsiaTheme="minorEastAsia" w:cstheme="minorEastAsia"/>
          <w:b/>
          <w:bCs/>
          <w:snapToGrid w:val="0"/>
          <w:color w:val="000000"/>
          <w:kern w:val="0"/>
          <w:sz w:val="28"/>
          <w:szCs w:val="28"/>
          <w:lang w:val="en-US" w:eastAsia="en-US" w:bidi="ar-SA"/>
        </w:rPr>
      </w:pPr>
      <w:r>
        <w:rPr>
          <w:rFonts w:hint="eastAsia" w:asciiTheme="minorEastAsia" w:hAnsiTheme="minorEastAsia" w:eastAsiaTheme="minorEastAsia" w:cstheme="minorEastAsia"/>
          <w:b/>
          <w:bCs/>
          <w:snapToGrid w:val="0"/>
          <w:color w:val="000000"/>
          <w:kern w:val="0"/>
          <w:sz w:val="28"/>
          <w:szCs w:val="28"/>
          <w:lang w:val="en-US" w:eastAsia="zh-CN" w:bidi="ar-SA"/>
        </w:rPr>
        <w:t>十二</w:t>
      </w:r>
      <w:r>
        <w:rPr>
          <w:rFonts w:hint="eastAsia" w:asciiTheme="minorEastAsia" w:hAnsiTheme="minorEastAsia" w:eastAsiaTheme="minorEastAsia" w:cstheme="minorEastAsia"/>
          <w:b/>
          <w:bCs/>
          <w:snapToGrid w:val="0"/>
          <w:color w:val="000000"/>
          <w:kern w:val="0"/>
          <w:sz w:val="28"/>
          <w:szCs w:val="28"/>
          <w:lang w:val="en-US" w:eastAsia="en-US" w:bidi="ar-SA"/>
        </w:rPr>
        <w:t>、工程验收</w:t>
      </w:r>
    </w:p>
    <w:p w14:paraId="7D871184">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1、竣工工程验收，以国家颁发的《关于基本建设项目竣工验收暂行规定》、《工程施工及验收规范》、《建筑安装工程质量检验评定标准》和国务院有关部门制订的竣工验收规定及施工图纸及说明书、施工技术文件为依据。</w:t>
      </w:r>
    </w:p>
    <w:p w14:paraId="7F789901">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2、工程施工中地下工程、结构工程必须具有隐蔽验收记录。工程竣工质量经双方检验合格后，甲方须及时办理验收签证手续。</w:t>
      </w:r>
    </w:p>
    <w:p w14:paraId="5BDBBA77">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3、工程具备竣工验收条件，乙方按国家工程竣工验收有关规定，向甲方提供完整竣工资料及竣工验收报告。</w:t>
      </w:r>
    </w:p>
    <w:p w14:paraId="06BBB8F0">
      <w:pPr>
        <w:adjustRightInd w:val="0"/>
        <w:snapToGrid w:val="0"/>
        <w:spacing w:line="580" w:lineRule="exact"/>
        <w:rPr>
          <w:b/>
          <w:spacing w:val="3"/>
          <w:sz w:val="28"/>
          <w:szCs w:val="28"/>
        </w:rPr>
      </w:pPr>
      <w:r>
        <w:rPr>
          <w:rFonts w:hint="eastAsia" w:eastAsia="宋体"/>
          <w:b/>
          <w:spacing w:val="3"/>
          <w:sz w:val="28"/>
          <w:szCs w:val="28"/>
          <w:lang w:val="en-US" w:eastAsia="zh-CN"/>
        </w:rPr>
        <w:t>十三</w:t>
      </w:r>
      <w:r>
        <w:rPr>
          <w:rFonts w:hint="eastAsia"/>
          <w:b/>
          <w:spacing w:val="3"/>
          <w:sz w:val="28"/>
          <w:szCs w:val="28"/>
        </w:rPr>
        <w:t>、安全环保条款</w:t>
      </w:r>
    </w:p>
    <w:p w14:paraId="2D05998A">
      <w:pPr>
        <w:adjustRightInd w:val="0"/>
        <w:snapToGrid w:val="0"/>
        <w:spacing w:line="58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1、乙方应遵守国家法律法规及济钢集团有关规定，乙方负责现场监护，随时接受甲方安全环保检查人员的监督检查。</w:t>
      </w:r>
    </w:p>
    <w:p w14:paraId="25238718">
      <w:pPr>
        <w:adjustRightInd w:val="0"/>
        <w:snapToGrid w:val="0"/>
        <w:spacing w:line="58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2、乙方开工前应开展危险源辨识，并制订安全措施，将措施及落实情况报甲方。</w:t>
      </w:r>
    </w:p>
    <w:p w14:paraId="562A54F6">
      <w:pPr>
        <w:adjustRightInd w:val="0"/>
        <w:snapToGrid w:val="0"/>
        <w:spacing w:line="58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3、乙方开工前应制定防止和减少粉尘、噪声、污水等污染环境的有效措施，报甲方。</w:t>
      </w:r>
    </w:p>
    <w:p w14:paraId="2BC4D320">
      <w:pPr>
        <w:adjustRightInd w:val="0"/>
        <w:snapToGrid w:val="0"/>
        <w:spacing w:line="58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4、乙方出现安全、环境问题应接受甲方安全环保部门的审查处理。发生重大伤亡事故及其它安全事故，乙方应立即通知甲方项目施工管理人员并按照有关规定上报有关部门，同时按政府有关部门规定接受处理。乙方造成的安全、环保事故，乙方应对此承担全部责任及全部费用并赔偿甲方因此受到的全部损失。</w:t>
      </w:r>
    </w:p>
    <w:p w14:paraId="38BAFD08">
      <w:pPr>
        <w:adjustRightInd w:val="0"/>
        <w:snapToGrid w:val="0"/>
        <w:spacing w:line="58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5、乙方履行本合同必须随时强调安全作业，施工中发生的设备、人身等一切安全事故，由乙方负责处理并承担全部费用，若因此给甲方造成损失的，乙方要赔偿甲方因此受到的全部损失。</w:t>
      </w:r>
    </w:p>
    <w:p w14:paraId="77DF6DE4">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p>
    <w:p w14:paraId="13E01C5A">
      <w:pPr>
        <w:pStyle w:val="10"/>
        <w:shd w:val="clear" w:color="auto" w:fill="FFFFFF"/>
        <w:spacing w:before="0" w:beforeAutospacing="0" w:after="0" w:afterAutospacing="0" w:line="540" w:lineRule="exact"/>
        <w:rPr>
          <w:rFonts w:hint="eastAsia" w:asciiTheme="minorEastAsia" w:hAnsiTheme="minorEastAsia" w:eastAsiaTheme="minorEastAsia" w:cstheme="minorEastAsia"/>
          <w:b/>
          <w:bCs/>
          <w:snapToGrid w:val="0"/>
          <w:color w:val="000000"/>
          <w:kern w:val="0"/>
          <w:sz w:val="28"/>
          <w:szCs w:val="28"/>
          <w:lang w:val="en-US" w:eastAsia="en-US" w:bidi="ar-SA"/>
        </w:rPr>
      </w:pPr>
      <w:r>
        <w:rPr>
          <w:rFonts w:hint="eastAsia" w:asciiTheme="minorEastAsia" w:hAnsiTheme="minorEastAsia" w:eastAsiaTheme="minorEastAsia" w:cstheme="minorEastAsia"/>
          <w:b/>
          <w:bCs/>
          <w:snapToGrid w:val="0"/>
          <w:color w:val="000000"/>
          <w:kern w:val="0"/>
          <w:sz w:val="28"/>
          <w:szCs w:val="28"/>
          <w:lang w:val="en-US" w:eastAsia="en-US" w:bidi="ar-SA"/>
        </w:rPr>
        <w:t>十</w:t>
      </w:r>
      <w:r>
        <w:rPr>
          <w:rFonts w:hint="eastAsia" w:asciiTheme="minorEastAsia" w:hAnsiTheme="minorEastAsia" w:eastAsiaTheme="minorEastAsia" w:cstheme="minorEastAsia"/>
          <w:b/>
          <w:bCs/>
          <w:snapToGrid w:val="0"/>
          <w:color w:val="000000"/>
          <w:kern w:val="0"/>
          <w:sz w:val="28"/>
          <w:szCs w:val="28"/>
          <w:lang w:val="en-US" w:eastAsia="zh-CN" w:bidi="ar-SA"/>
        </w:rPr>
        <w:t>四</w:t>
      </w:r>
      <w:r>
        <w:rPr>
          <w:rFonts w:hint="eastAsia" w:asciiTheme="minorEastAsia" w:hAnsiTheme="minorEastAsia" w:eastAsiaTheme="minorEastAsia" w:cstheme="minorEastAsia"/>
          <w:b/>
          <w:bCs/>
          <w:snapToGrid w:val="0"/>
          <w:color w:val="000000"/>
          <w:kern w:val="0"/>
          <w:sz w:val="28"/>
          <w:szCs w:val="28"/>
          <w:lang w:val="en-US" w:eastAsia="en-US" w:bidi="ar-SA"/>
        </w:rPr>
        <w:t>、违约责任</w:t>
      </w:r>
    </w:p>
    <w:p w14:paraId="3EFCDAA6">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乙方的责任：</w:t>
      </w:r>
    </w:p>
    <w:p w14:paraId="7B8E631A">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1、因乙方原因不能按照合同约定的时间竣工，每延期一天，按本合同总造价的5‰向甲方支付违约金，违约金从工程款中扣除。</w:t>
      </w:r>
    </w:p>
    <w:p w14:paraId="289704AC">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2、乙方因工程质量达不到本合同约定的质量标准，乙方必须立即进行返工，乙方自行承担由此增加的费用和(或)延误的工期；若返工后还是达不到质量标准的，则自动退场，并赔偿甲方相应损失。</w:t>
      </w:r>
    </w:p>
    <w:p w14:paraId="4C03A5D5">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3、本合同中规定的所有作业内容，乙方不得以任何形式进行转包、分包，如发现转包、分包行为，全额扣除乙方履约保证金，甲方有权单方终止合同，所产生的一切后果和经济损失均由乙方承担。</w:t>
      </w:r>
    </w:p>
    <w:p w14:paraId="327654C4">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napToGrid w:val="0"/>
          <w:color w:val="000000"/>
          <w:kern w:val="0"/>
          <w:sz w:val="28"/>
          <w:szCs w:val="28"/>
          <w:lang w:val="en-US" w:eastAsia="en-US" w:bidi="ar-SA"/>
        </w:rPr>
      </w:pPr>
      <w:r>
        <w:rPr>
          <w:rFonts w:hint="eastAsia" w:asciiTheme="minorEastAsia" w:hAnsiTheme="minorEastAsia" w:eastAsiaTheme="minorEastAsia" w:cstheme="minorEastAsia"/>
          <w:snapToGrid w:val="0"/>
          <w:color w:val="000000"/>
          <w:kern w:val="0"/>
          <w:sz w:val="28"/>
          <w:szCs w:val="28"/>
          <w:lang w:val="en-US" w:eastAsia="en-US" w:bidi="ar-SA"/>
        </w:rPr>
        <w:t>甲方的责任：</w:t>
      </w:r>
    </w:p>
    <w:p w14:paraId="621788E8">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收到乙方验收通知书送达3日后不进行验收的，工期将顺延。</w:t>
      </w:r>
    </w:p>
    <w:p w14:paraId="6334D2CE">
      <w:pPr>
        <w:spacing w:line="540" w:lineRule="exact"/>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十</w:t>
      </w:r>
      <w:r>
        <w:rPr>
          <w:rFonts w:hint="eastAsia" w:asciiTheme="minorEastAsia" w:hAnsiTheme="minorEastAsia" w:eastAsiaTheme="minorEastAsia" w:cstheme="minorEastAsia"/>
          <w:b/>
          <w:bCs/>
          <w:color w:val="000000"/>
          <w:sz w:val="28"/>
          <w:szCs w:val="28"/>
          <w:lang w:val="en-US" w:eastAsia="zh-CN"/>
        </w:rPr>
        <w:t>五</w:t>
      </w:r>
      <w:r>
        <w:rPr>
          <w:rFonts w:hint="eastAsia" w:asciiTheme="minorEastAsia" w:hAnsiTheme="minorEastAsia" w:eastAsiaTheme="minorEastAsia" w:cstheme="minorEastAsia"/>
          <w:b/>
          <w:bCs/>
          <w:color w:val="000000"/>
          <w:sz w:val="28"/>
          <w:szCs w:val="28"/>
        </w:rPr>
        <w:t>、合同退出、中止及终止</w:t>
      </w:r>
    </w:p>
    <w:p w14:paraId="40895994">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1、退出</w:t>
      </w:r>
    </w:p>
    <w:p w14:paraId="43660E88">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1.1“退出”系指合同履行期间，出现第1.2款或第1.3款事件或情况时，一方有权提出解除合同。</w:t>
      </w:r>
    </w:p>
    <w:p w14:paraId="4BE977EE">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1.2甲方有权要求乙方退出的事件或情况：</w:t>
      </w:r>
    </w:p>
    <w:p w14:paraId="48FD0FE0">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1.2.1履行合同期间乙方出现任何因法院、行政机关或仲裁机构的诉讼、起诉导致乙方无能力继续履行合同。</w:t>
      </w:r>
    </w:p>
    <w:p w14:paraId="10663728">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1.2.2乙方因违反税收法律法规而造成影响运营生产或停产或吊销营业执照。</w:t>
      </w:r>
    </w:p>
    <w:p w14:paraId="5CFBC3A7">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1.2.3因乙方管理不善，发生较大质量、生产安全事故或影响到社会公共利益和安全的事件。</w:t>
      </w:r>
    </w:p>
    <w:p w14:paraId="4F6C7E67">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1.2.4乙方擅自停止建设或明显表现出不愿意继续履行合同义务的意向。</w:t>
      </w:r>
    </w:p>
    <w:p w14:paraId="5D7559C3">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1.3在建设期内，因甲方项目停止建设，乙方可以提出退出，乙方已经为本合同履行支出的合理费用和成本，包括但不限于勘察和设计费用、施工费用、建筑费用、人员费用、相关税费、差旅费等，甲方应按实际发生的费用向承包方赔偿。</w:t>
      </w:r>
    </w:p>
    <w:p w14:paraId="48572B19">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1.4退出程序</w:t>
      </w:r>
    </w:p>
    <w:p w14:paraId="43611A13">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1.4.1如果发生第1.2款或第1.3款的事件或情况，一方向另一方发出退出意向通知。</w:t>
      </w:r>
    </w:p>
    <w:p w14:paraId="73C2B1B2">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1.4.2双方应在退出意向发出通知的14日内协商避免退出的措施。在双方协商期间：</w:t>
      </w:r>
    </w:p>
    <w:p w14:paraId="3B0A5C4B">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1.4.2.1如果双方达成不退出的意见，则退出意向通知立即自动失效。</w:t>
      </w:r>
    </w:p>
    <w:p w14:paraId="06DBD55F">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1.4.2.2如果双方达成同意退出的意见，则双方应在30日内确定退出方案。</w:t>
      </w:r>
    </w:p>
    <w:p w14:paraId="36AE23CF">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1.4..2.3如果双方无法达成一致意见，则按照第12.2条（争端解决方式及流程）的规定执行。</w:t>
      </w:r>
    </w:p>
    <w:p w14:paraId="64FCE151">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2、中止</w:t>
      </w:r>
    </w:p>
    <w:p w14:paraId="397C6E9F">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2.1“中止”系指在建设期内，由于甲方的原因导致工程建设暂停，待中止的事件或情况消失后，乙方应当继续履行合同。</w:t>
      </w:r>
    </w:p>
    <w:p w14:paraId="3A2E0668">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2.2中止程序</w:t>
      </w:r>
    </w:p>
    <w:p w14:paraId="20B8C59A">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2.2.1如果甲方已或将发生第2.1款的事件或情况，应立即通知乙方。</w:t>
      </w:r>
    </w:p>
    <w:p w14:paraId="43F1F398">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2.2.2双方应在7日内确定中止的方案、中止期限和恢复履行合同的条件。如果甲方在中止期限内未恢复履行合同的能力，则乙方可以按照第1条（退出）或第3条（终止）提出退出或终止。</w:t>
      </w:r>
    </w:p>
    <w:p w14:paraId="21BB852C">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2.2.3双方均有义务将合同中止的影响降低到最小。</w:t>
      </w:r>
    </w:p>
    <w:p w14:paraId="772627F4">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2.2.4在合同中止期间，如双方协商确定了中止方案，应免除双方部分或全部责任。</w:t>
      </w:r>
    </w:p>
    <w:p w14:paraId="5045BC9F">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3、终止</w:t>
      </w:r>
    </w:p>
    <w:p w14:paraId="5375E067">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3.1“终止”系指在合同履行期间，出现第3.2款的事件或情况时，使合同确立的权利义务关系结束。</w:t>
      </w:r>
    </w:p>
    <w:p w14:paraId="2D1167F2">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3.2导致合同终止的事件或情况，包括：</w:t>
      </w:r>
    </w:p>
    <w:p w14:paraId="2D41FF23">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3.2.1、施工期间发生较大及以上安全事故的。</w:t>
      </w:r>
    </w:p>
    <w:p w14:paraId="393A2639">
      <w:pPr>
        <w:spacing w:line="540" w:lineRule="exact"/>
        <w:ind w:left="48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3.2.2、因乙方原因，政府责令停工一个月以上，给甲方造成重大经济损失的。</w:t>
      </w:r>
    </w:p>
    <w:p w14:paraId="73A2EFD9">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3.2.3、乙方不按设计进行施工，不按要求进行整改，造成重大隐患和严重后果的。</w:t>
      </w:r>
    </w:p>
    <w:p w14:paraId="266E2E90">
      <w:pPr>
        <w:spacing w:line="540" w:lineRule="exact"/>
        <w:ind w:left="48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3.2.4、由于不可抗力或政策因素导致甲方无法继续施工。</w:t>
      </w:r>
    </w:p>
    <w:p w14:paraId="74CC21CC">
      <w:pPr>
        <w:spacing w:line="540" w:lineRule="exact"/>
        <w:ind w:left="48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3.2.5、由于甲方生产组织发生重大变化需要提前解除或终止合同。</w:t>
      </w:r>
    </w:p>
    <w:p w14:paraId="0EB388FC">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3.2.6、未经甲方允许，乙方不得将其与本合同相关资产进行任何形式的担保。一旦甲方发现乙方用上述资产进行担保，甲方给予相应经济处罚并有权终止合同。</w:t>
      </w:r>
    </w:p>
    <w:p w14:paraId="5FECCAC2">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3.2.7、本合同所涉及的法律有所改变（包括适用新的法律、废除或修改现有法律）或对此项法律的司法或政府解释有所改变，影响双方履行合同规定的权利和义务的，合同应当变更。如果因法律的改变导致一方或双方无法继续履行合同则终止合同。</w:t>
      </w:r>
    </w:p>
    <w:p w14:paraId="730B893A">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3.3终止程序</w:t>
      </w:r>
    </w:p>
    <w:p w14:paraId="7BD084EC">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3.3.1如果发生第3.2款中第3.2.1至3.2.8项的事件或情况，一方有权向另一方发出终止通知。</w:t>
      </w:r>
    </w:p>
    <w:p w14:paraId="75CD4414">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3.3.2双方应在终止通知发出的30日内确定合同终止方案。</w:t>
      </w:r>
    </w:p>
    <w:p w14:paraId="7628601E">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3.3.3如双方不能就服务期限延长达成一致的，乙方应在服务期限届满之日起</w:t>
      </w:r>
    </w:p>
    <w:p w14:paraId="386D4B0D">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30日内将现场清理完毕，并将现场交还甲方。</w:t>
      </w:r>
    </w:p>
    <w:p w14:paraId="0DEC06F3">
      <w:pPr>
        <w:spacing w:line="540" w:lineRule="exact"/>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十</w:t>
      </w:r>
      <w:r>
        <w:rPr>
          <w:rFonts w:hint="eastAsia" w:asciiTheme="minorEastAsia" w:hAnsiTheme="minorEastAsia" w:eastAsiaTheme="minorEastAsia" w:cstheme="minorEastAsia"/>
          <w:b/>
          <w:bCs/>
          <w:color w:val="000000"/>
          <w:sz w:val="28"/>
          <w:szCs w:val="28"/>
          <w:lang w:val="en-US" w:eastAsia="zh-CN"/>
        </w:rPr>
        <w:t>六</w:t>
      </w:r>
      <w:r>
        <w:rPr>
          <w:rFonts w:hint="eastAsia" w:asciiTheme="minorEastAsia" w:hAnsiTheme="minorEastAsia" w:eastAsiaTheme="minorEastAsia" w:cstheme="minorEastAsia"/>
          <w:b/>
          <w:bCs/>
          <w:color w:val="000000"/>
          <w:sz w:val="28"/>
          <w:szCs w:val="28"/>
        </w:rPr>
        <w:t>、合同生效、仲裁及其他</w:t>
      </w:r>
    </w:p>
    <w:p w14:paraId="578D6E7B">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1、合同生效</w:t>
      </w:r>
    </w:p>
    <w:p w14:paraId="691BB039">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1.1本合同双方盖章签字后生效，</w:t>
      </w:r>
      <w:r>
        <w:rPr>
          <w:rFonts w:hint="eastAsia" w:asciiTheme="minorEastAsia" w:hAnsiTheme="minorEastAsia" w:eastAsiaTheme="minorEastAsia" w:cstheme="minorEastAsia"/>
          <w:color w:val="333333"/>
          <w:spacing w:val="8"/>
          <w:sz w:val="28"/>
          <w:szCs w:val="28"/>
        </w:rPr>
        <w:t>质保期满一年并结清工程款后终止。</w:t>
      </w:r>
    </w:p>
    <w:p w14:paraId="37A99B8A">
      <w:pPr>
        <w:spacing w:line="540" w:lineRule="exact"/>
        <w:ind w:left="48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2、争端解决方式及流程</w:t>
      </w:r>
    </w:p>
    <w:p w14:paraId="0026E3A9">
      <w:pPr>
        <w:spacing w:line="540" w:lineRule="exact"/>
        <w:ind w:left="48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2.1友好协商</w:t>
      </w:r>
    </w:p>
    <w:p w14:paraId="58484F1A">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本合同生效后，双方应严格遵守。如执行过程中发生争端，双方首先应友好协商解决。</w:t>
      </w:r>
    </w:p>
    <w:p w14:paraId="620ED500">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2.2诉讼</w:t>
      </w:r>
    </w:p>
    <w:p w14:paraId="505B365F">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若双方协商不成时，向章丘区人民法院起诉。</w:t>
      </w:r>
    </w:p>
    <w:p w14:paraId="5C5FFD82">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3、争端期的合同履行</w:t>
      </w:r>
    </w:p>
    <w:p w14:paraId="1E7447BB">
      <w:pPr>
        <w:spacing w:line="540" w:lineRule="exact"/>
        <w:ind w:firstLine="560" w:firstLineChars="200"/>
        <w:rPr>
          <w:rFonts w:hint="eastAsia" w:asciiTheme="minorEastAsia" w:hAnsiTheme="minorEastAsia" w:eastAsiaTheme="minorEastAsia" w:cstheme="minorEastAsia"/>
          <w:bCs/>
          <w:color w:val="000000"/>
          <w:sz w:val="28"/>
          <w:szCs w:val="28"/>
          <w:lang w:eastAsia="zh-CN"/>
        </w:rPr>
      </w:pPr>
      <w:r>
        <w:rPr>
          <w:rFonts w:hint="eastAsia" w:asciiTheme="minorEastAsia" w:hAnsiTheme="minorEastAsia" w:eastAsiaTheme="minorEastAsia" w:cstheme="minorEastAsia"/>
          <w:bCs/>
          <w:color w:val="000000"/>
          <w:sz w:val="28"/>
          <w:szCs w:val="28"/>
        </w:rPr>
        <w:t>3.1发生争端后，除非出现下列情况的，双方均应继续履行合同</w:t>
      </w:r>
      <w:r>
        <w:rPr>
          <w:rFonts w:hint="eastAsia" w:asciiTheme="minorEastAsia" w:hAnsiTheme="minorEastAsia" w:eastAsiaTheme="minorEastAsia" w:cstheme="minorEastAsia"/>
          <w:bCs/>
          <w:color w:val="000000"/>
          <w:sz w:val="28"/>
          <w:szCs w:val="28"/>
          <w:lang w:eastAsia="zh-CN"/>
        </w:rPr>
        <w:t>。</w:t>
      </w:r>
    </w:p>
    <w:p w14:paraId="420071A8">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3.1.1单方违约导致合同确已无法履行，双方协议停止履行；</w:t>
      </w:r>
    </w:p>
    <w:p w14:paraId="32D63C27">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3.1.2经协调机构调解要求停止履行合同，且为双方接受；</w:t>
      </w:r>
    </w:p>
    <w:p w14:paraId="3F653147">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3.1.3法院要求停止履行合同。</w:t>
      </w:r>
    </w:p>
    <w:p w14:paraId="6726A3BA">
      <w:pPr>
        <w:spacing w:line="54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4、合同份数</w:t>
      </w:r>
    </w:p>
    <w:p w14:paraId="24E04F88">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本合同一式</w:t>
      </w:r>
      <w:r>
        <w:rPr>
          <w:rFonts w:hint="eastAsia" w:asciiTheme="minorEastAsia" w:hAnsiTheme="minorEastAsia" w:eastAsiaTheme="minorEastAsia" w:cstheme="minorEastAsia"/>
          <w:bCs/>
          <w:color w:val="000000"/>
          <w:sz w:val="28"/>
          <w:szCs w:val="28"/>
          <w:lang w:val="en-US" w:eastAsia="zh-CN"/>
        </w:rPr>
        <w:t>陆</w:t>
      </w:r>
      <w:r>
        <w:rPr>
          <w:rFonts w:hint="eastAsia" w:asciiTheme="minorEastAsia" w:hAnsiTheme="minorEastAsia" w:eastAsiaTheme="minorEastAsia" w:cstheme="minorEastAsia"/>
          <w:bCs/>
          <w:color w:val="000000"/>
          <w:sz w:val="28"/>
          <w:szCs w:val="28"/>
        </w:rPr>
        <w:t>份，甲方</w:t>
      </w:r>
      <w:r>
        <w:rPr>
          <w:rFonts w:hint="eastAsia" w:asciiTheme="minorEastAsia" w:hAnsiTheme="minorEastAsia" w:eastAsiaTheme="minorEastAsia" w:cstheme="minorEastAsia"/>
          <w:bCs/>
          <w:color w:val="000000"/>
          <w:sz w:val="28"/>
          <w:szCs w:val="28"/>
          <w:lang w:val="en-US" w:eastAsia="zh-CN"/>
        </w:rPr>
        <w:t>肆</w:t>
      </w:r>
      <w:r>
        <w:rPr>
          <w:rFonts w:hint="eastAsia" w:asciiTheme="minorEastAsia" w:hAnsiTheme="minorEastAsia" w:eastAsiaTheme="minorEastAsia" w:cstheme="minorEastAsia"/>
          <w:bCs/>
          <w:color w:val="000000"/>
          <w:sz w:val="28"/>
          <w:szCs w:val="28"/>
        </w:rPr>
        <w:t>份，乙方</w:t>
      </w:r>
      <w:r>
        <w:rPr>
          <w:rFonts w:hint="eastAsia" w:asciiTheme="minorEastAsia" w:hAnsiTheme="minorEastAsia" w:eastAsiaTheme="minorEastAsia" w:cstheme="minorEastAsia"/>
          <w:bCs/>
          <w:color w:val="000000"/>
          <w:sz w:val="28"/>
          <w:szCs w:val="28"/>
          <w:lang w:val="en-US" w:eastAsia="zh-CN"/>
        </w:rPr>
        <w:t>贰</w:t>
      </w:r>
      <w:r>
        <w:rPr>
          <w:rFonts w:hint="eastAsia" w:asciiTheme="minorEastAsia" w:hAnsiTheme="minorEastAsia" w:eastAsiaTheme="minorEastAsia" w:cstheme="minorEastAsia"/>
          <w:bCs/>
          <w:color w:val="000000"/>
          <w:sz w:val="28"/>
          <w:szCs w:val="28"/>
        </w:rPr>
        <w:t>份，具有同等法律效力。</w:t>
      </w:r>
    </w:p>
    <w:p w14:paraId="28AA7389">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5、本合同未尽事宜，甲乙双方另行协商解决。</w:t>
      </w:r>
    </w:p>
    <w:p w14:paraId="77E33836">
      <w:pPr>
        <w:spacing w:line="540" w:lineRule="exact"/>
        <w:ind w:firstLine="560" w:firstLineChars="200"/>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t>6、附件</w:t>
      </w:r>
    </w:p>
    <w:p w14:paraId="28CB980A">
      <w:pPr>
        <w:spacing w:line="540" w:lineRule="exact"/>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附件1 工程质量保修书</w:t>
      </w:r>
    </w:p>
    <w:p w14:paraId="40138F0A">
      <w:pPr>
        <w:keepNext w:val="0"/>
        <w:keepLines w:val="0"/>
        <w:pageBreakBefore w:val="0"/>
        <w:kinsoku w:val="0"/>
        <w:wordWrap/>
        <w:overflowPunct/>
        <w:topLinePunct w:val="0"/>
        <w:autoSpaceDE w:val="0"/>
        <w:autoSpaceDN w:val="0"/>
        <w:bidi w:val="0"/>
        <w:adjustRightInd w:val="0"/>
        <w:snapToGrid w:val="0"/>
        <w:spacing w:line="540" w:lineRule="exact"/>
        <w:ind w:firstLine="560" w:firstLineChars="200"/>
        <w:textAlignment w:val="baseline"/>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附件2 安全文明施工协议书</w:t>
      </w:r>
    </w:p>
    <w:p w14:paraId="621197CF">
      <w:pPr>
        <w:pStyle w:val="2"/>
        <w:keepNext w:val="0"/>
        <w:keepLines w:val="0"/>
        <w:pageBreakBefore w:val="0"/>
        <w:kinsoku w:val="0"/>
        <w:wordWrap/>
        <w:overflowPunct/>
        <w:topLinePunct w:val="0"/>
        <w:autoSpaceDE w:val="0"/>
        <w:autoSpaceDN w:val="0"/>
        <w:bidi w:val="0"/>
        <w:adjustRightInd w:val="0"/>
        <w:snapToGrid w:val="0"/>
        <w:spacing w:line="540" w:lineRule="exact"/>
        <w:ind w:left="0" w:leftChars="0" w:firstLine="560" w:firstLineChars="200"/>
        <w:textAlignment w:val="baseline"/>
        <w:rPr>
          <w:rFonts w:hint="default" w:eastAsiaTheme="minorEastAsia"/>
          <w:lang w:val="en-US" w:eastAsia="zh-CN"/>
        </w:rPr>
      </w:pPr>
      <w:r>
        <w:rPr>
          <w:rFonts w:hint="eastAsia" w:asciiTheme="minorEastAsia" w:hAnsiTheme="minorEastAsia" w:eastAsiaTheme="minorEastAsia" w:cstheme="minorEastAsia"/>
          <w:bCs/>
          <w:color w:val="000000"/>
          <w:sz w:val="28"/>
          <w:szCs w:val="28"/>
          <w:lang w:val="en-US" w:eastAsia="zh-CN"/>
        </w:rPr>
        <w:t>附件3 廉洁协议书</w:t>
      </w:r>
    </w:p>
    <w:p w14:paraId="171048E5">
      <w:pPr>
        <w:spacing w:line="540" w:lineRule="exact"/>
        <w:ind w:firstLine="742" w:firstLineChars="265"/>
        <w:rPr>
          <w:rFonts w:hint="eastAsia" w:asciiTheme="minorEastAsia" w:hAnsiTheme="minorEastAsia" w:eastAsiaTheme="minorEastAsia" w:cstheme="minorEastAsia"/>
          <w:bCs/>
          <w:color w:val="000000"/>
          <w:sz w:val="28"/>
          <w:szCs w:val="28"/>
        </w:rPr>
      </w:pPr>
    </w:p>
    <w:tbl>
      <w:tblPr>
        <w:tblStyle w:val="11"/>
        <w:tblW w:w="9875" w:type="dxa"/>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0" w:type="dxa"/>
          <w:bottom w:w="0" w:type="dxa"/>
          <w:right w:w="0" w:type="dxa"/>
        </w:tblCellMar>
      </w:tblPr>
      <w:tblGrid>
        <w:gridCol w:w="4928"/>
        <w:gridCol w:w="4947"/>
      </w:tblGrid>
      <w:tr w14:paraId="1DA557CF">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PrEx>
        <w:trPr>
          <w:trHeight w:val="1134" w:hRule="atLeast"/>
          <w:jc w:val="center"/>
        </w:trPr>
        <w:tc>
          <w:tcPr>
            <w:tcW w:w="4928" w:type="dxa"/>
            <w:tcBorders>
              <w:top w:val="single" w:color="auto" w:sz="12" w:space="0"/>
              <w:left w:val="nil"/>
              <w:bottom w:val="single" w:color="auto" w:sz="12" w:space="0"/>
              <w:right w:val="nil"/>
            </w:tcBorders>
            <w:noWrap w:val="0"/>
            <w:vAlign w:val="center"/>
          </w:tcPr>
          <w:p w14:paraId="7C4D5709">
            <w:pPr>
              <w:widowControl/>
              <w:adjustRightInd w:val="0"/>
              <w:snapToGrid w:val="0"/>
              <w:spacing w:before="156" w:beforeLines="50" w:after="156" w:afterLines="50"/>
              <w:jc w:val="left"/>
              <w:rPr>
                <w:rFonts w:ascii="宋体" w:hAnsi="宋体"/>
                <w:kern w:val="0"/>
                <w:sz w:val="24"/>
              </w:rPr>
            </w:pPr>
            <w:r>
              <w:rPr>
                <w:rFonts w:hint="eastAsia" w:ascii="宋体" w:hAnsi="宋体"/>
                <w:kern w:val="0"/>
                <w:sz w:val="24"/>
              </w:rPr>
              <w:t xml:space="preserve">甲方（盖章）：山东济钢环保新材料有限公司            </w:t>
            </w:r>
          </w:p>
        </w:tc>
        <w:tc>
          <w:tcPr>
            <w:tcW w:w="4947" w:type="dxa"/>
            <w:tcBorders>
              <w:top w:val="single" w:color="auto" w:sz="12" w:space="0"/>
              <w:left w:val="nil"/>
              <w:bottom w:val="single" w:color="auto" w:sz="12" w:space="0"/>
              <w:right w:val="nil"/>
            </w:tcBorders>
            <w:noWrap w:val="0"/>
            <w:vAlign w:val="center"/>
          </w:tcPr>
          <w:p w14:paraId="05BB0D0C">
            <w:pPr>
              <w:widowControl/>
              <w:adjustRightInd w:val="0"/>
              <w:snapToGrid w:val="0"/>
              <w:spacing w:before="156" w:beforeLines="50" w:after="156" w:afterLines="50"/>
              <w:ind w:left="1380" w:hanging="1380" w:hangingChars="600"/>
              <w:jc w:val="left"/>
              <w:rPr>
                <w:rFonts w:hint="eastAsia" w:ascii="宋体" w:hAnsi="宋体" w:eastAsia="宋体"/>
                <w:b/>
                <w:spacing w:val="-5"/>
                <w:kern w:val="0"/>
                <w:sz w:val="24"/>
                <w:lang w:eastAsia="zh-CN"/>
              </w:rPr>
            </w:pPr>
            <w:r>
              <w:rPr>
                <w:rFonts w:hint="eastAsia" w:ascii="宋体" w:hAnsi="宋体"/>
                <w:spacing w:val="-5"/>
                <w:kern w:val="0"/>
                <w:sz w:val="24"/>
              </w:rPr>
              <w:t xml:space="preserve">乙方（盖章）： </w:t>
            </w:r>
            <w:r>
              <w:rPr>
                <w:rFonts w:hint="eastAsia" w:ascii="宋体" w:hAnsi="宋体" w:eastAsia="宋体"/>
                <w:spacing w:val="-5"/>
                <w:kern w:val="0"/>
                <w:sz w:val="24"/>
                <w:lang w:val="en-US" w:eastAsia="zh-CN"/>
              </w:rPr>
              <w:t xml:space="preserve"> </w:t>
            </w:r>
          </w:p>
        </w:tc>
      </w:tr>
      <w:tr w14:paraId="12D2258D">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4928" w:type="dxa"/>
            <w:tcBorders>
              <w:top w:val="single" w:color="auto" w:sz="12" w:space="0"/>
              <w:left w:val="nil"/>
              <w:bottom w:val="single" w:color="auto" w:sz="12" w:space="0"/>
              <w:right w:val="nil"/>
            </w:tcBorders>
            <w:noWrap w:val="0"/>
            <w:vAlign w:val="center"/>
          </w:tcPr>
          <w:p w14:paraId="4CD31D7E">
            <w:pPr>
              <w:widowControl/>
              <w:spacing w:line="360" w:lineRule="auto"/>
              <w:ind w:right="304" w:rightChars="145"/>
              <w:jc w:val="left"/>
              <w:rPr>
                <w:rFonts w:hint="eastAsia" w:ascii="宋体" w:hAnsi="宋体"/>
                <w:kern w:val="0"/>
                <w:sz w:val="24"/>
              </w:rPr>
            </w:pPr>
            <w:r>
              <w:rPr>
                <w:rFonts w:hint="eastAsia" w:ascii="宋体" w:hAnsi="宋体"/>
                <w:kern w:val="0"/>
                <w:sz w:val="24"/>
              </w:rPr>
              <w:t xml:space="preserve">授权代表（签字）：                             </w:t>
            </w:r>
          </w:p>
        </w:tc>
        <w:tc>
          <w:tcPr>
            <w:tcW w:w="4947" w:type="dxa"/>
            <w:tcBorders>
              <w:top w:val="single" w:color="auto" w:sz="12" w:space="0"/>
              <w:left w:val="nil"/>
              <w:bottom w:val="single" w:color="auto" w:sz="12" w:space="0"/>
              <w:right w:val="nil"/>
            </w:tcBorders>
            <w:noWrap w:val="0"/>
            <w:vAlign w:val="center"/>
          </w:tcPr>
          <w:p w14:paraId="138AC3A8">
            <w:pPr>
              <w:widowControl/>
              <w:spacing w:line="360" w:lineRule="auto"/>
              <w:ind w:right="304" w:rightChars="145"/>
              <w:jc w:val="left"/>
              <w:rPr>
                <w:rFonts w:hint="eastAsia" w:ascii="宋体" w:hAnsi="宋体"/>
                <w:kern w:val="0"/>
                <w:sz w:val="24"/>
              </w:rPr>
            </w:pPr>
            <w:r>
              <w:rPr>
                <w:rFonts w:hint="eastAsia" w:ascii="宋体" w:hAnsi="宋体"/>
                <w:kern w:val="0"/>
                <w:sz w:val="24"/>
              </w:rPr>
              <w:t>授权代表（签字）：</w:t>
            </w:r>
          </w:p>
        </w:tc>
      </w:tr>
      <w:tr w14:paraId="31D43215">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4928" w:type="dxa"/>
            <w:tcBorders>
              <w:top w:val="single" w:color="auto" w:sz="12" w:space="0"/>
              <w:left w:val="nil"/>
              <w:bottom w:val="single" w:color="auto" w:sz="12" w:space="0"/>
              <w:right w:val="nil"/>
            </w:tcBorders>
            <w:noWrap w:val="0"/>
            <w:vAlign w:val="center"/>
          </w:tcPr>
          <w:p w14:paraId="387F9FF9">
            <w:pPr>
              <w:widowControl/>
              <w:spacing w:line="360" w:lineRule="auto"/>
              <w:jc w:val="left"/>
              <w:rPr>
                <w:rFonts w:hint="eastAsia" w:ascii="宋体" w:hAnsi="宋体"/>
                <w:spacing w:val="-5"/>
                <w:kern w:val="0"/>
                <w:sz w:val="24"/>
              </w:rPr>
            </w:pPr>
            <w:r>
              <w:rPr>
                <w:rFonts w:hint="eastAsia" w:ascii="宋体" w:hAnsi="宋体"/>
                <w:spacing w:val="-5"/>
                <w:kern w:val="0"/>
                <w:sz w:val="24"/>
              </w:rPr>
              <w:t>开户行:</w:t>
            </w:r>
            <w:r>
              <w:rPr>
                <w:rFonts w:hint="eastAsia" w:ascii="宋体" w:hAnsi="宋体"/>
                <w:kern w:val="0"/>
                <w:sz w:val="24"/>
              </w:rPr>
              <w:t xml:space="preserve"> 中国民生银行济南章丘支行</w:t>
            </w:r>
          </w:p>
        </w:tc>
        <w:tc>
          <w:tcPr>
            <w:tcW w:w="4947" w:type="dxa"/>
            <w:tcBorders>
              <w:top w:val="single" w:color="auto" w:sz="12" w:space="0"/>
              <w:left w:val="nil"/>
              <w:bottom w:val="single" w:color="auto" w:sz="12" w:space="0"/>
              <w:right w:val="nil"/>
            </w:tcBorders>
            <w:noWrap w:val="0"/>
            <w:vAlign w:val="center"/>
          </w:tcPr>
          <w:p w14:paraId="4E6FA225">
            <w:pPr>
              <w:widowControl/>
              <w:spacing w:line="360" w:lineRule="auto"/>
              <w:ind w:left="690" w:hanging="690" w:hangingChars="300"/>
              <w:jc w:val="left"/>
              <w:rPr>
                <w:rFonts w:hint="eastAsia" w:ascii="宋体" w:hAnsi="宋体"/>
                <w:spacing w:val="-5"/>
                <w:kern w:val="0"/>
                <w:sz w:val="24"/>
              </w:rPr>
            </w:pPr>
            <w:r>
              <w:rPr>
                <w:rFonts w:hint="eastAsia" w:ascii="宋体" w:hAnsi="宋体"/>
                <w:spacing w:val="-5"/>
                <w:kern w:val="0"/>
                <w:sz w:val="24"/>
              </w:rPr>
              <w:t xml:space="preserve">开户行: </w:t>
            </w:r>
          </w:p>
        </w:tc>
      </w:tr>
      <w:tr w14:paraId="0F6983D6">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4928" w:type="dxa"/>
            <w:tcBorders>
              <w:top w:val="single" w:color="auto" w:sz="12" w:space="0"/>
              <w:left w:val="nil"/>
              <w:bottom w:val="single" w:color="auto" w:sz="12" w:space="0"/>
              <w:right w:val="nil"/>
            </w:tcBorders>
            <w:noWrap w:val="0"/>
            <w:vAlign w:val="center"/>
          </w:tcPr>
          <w:p w14:paraId="1C3DB271">
            <w:pPr>
              <w:widowControl/>
              <w:spacing w:line="360" w:lineRule="auto"/>
              <w:jc w:val="left"/>
              <w:rPr>
                <w:rFonts w:hint="eastAsia" w:ascii="宋体" w:hAnsi="宋体"/>
                <w:spacing w:val="-5"/>
                <w:kern w:val="0"/>
                <w:sz w:val="24"/>
              </w:rPr>
            </w:pPr>
            <w:r>
              <w:rPr>
                <w:rFonts w:hint="eastAsia" w:ascii="宋体" w:hAnsi="宋体"/>
                <w:kern w:val="0"/>
                <w:sz w:val="24"/>
              </w:rPr>
              <w:t>账号</w:t>
            </w:r>
            <w:r>
              <w:rPr>
                <w:rFonts w:hint="eastAsia" w:ascii="宋体" w:hAnsi="宋体"/>
                <w:spacing w:val="-5"/>
                <w:kern w:val="0"/>
                <w:sz w:val="24"/>
              </w:rPr>
              <w:t>：</w:t>
            </w:r>
            <w:r>
              <w:rPr>
                <w:rFonts w:hint="eastAsia" w:ascii="宋体" w:hAnsi="宋体"/>
                <w:kern w:val="0"/>
                <w:sz w:val="24"/>
              </w:rPr>
              <w:t>609055119</w:t>
            </w:r>
          </w:p>
        </w:tc>
        <w:tc>
          <w:tcPr>
            <w:tcW w:w="4947" w:type="dxa"/>
            <w:tcBorders>
              <w:top w:val="single" w:color="auto" w:sz="12" w:space="0"/>
              <w:left w:val="nil"/>
              <w:bottom w:val="single" w:color="auto" w:sz="12" w:space="0"/>
              <w:right w:val="nil"/>
            </w:tcBorders>
            <w:noWrap w:val="0"/>
            <w:vAlign w:val="center"/>
          </w:tcPr>
          <w:p w14:paraId="5165F37E">
            <w:pPr>
              <w:widowControl/>
              <w:spacing w:line="360" w:lineRule="auto"/>
              <w:jc w:val="left"/>
              <w:rPr>
                <w:rFonts w:hint="eastAsia" w:ascii="宋体" w:hAnsi="宋体"/>
                <w:spacing w:val="-5"/>
                <w:kern w:val="0"/>
                <w:sz w:val="24"/>
              </w:rPr>
            </w:pPr>
            <w:r>
              <w:rPr>
                <w:rFonts w:hint="eastAsia" w:ascii="宋体" w:hAnsi="宋体"/>
                <w:kern w:val="0"/>
                <w:sz w:val="24"/>
              </w:rPr>
              <w:t>账号</w:t>
            </w:r>
            <w:r>
              <w:rPr>
                <w:rFonts w:hint="eastAsia" w:ascii="宋体" w:hAnsi="宋体"/>
                <w:spacing w:val="-5"/>
                <w:kern w:val="0"/>
                <w:sz w:val="24"/>
              </w:rPr>
              <w:t>：</w:t>
            </w:r>
          </w:p>
        </w:tc>
      </w:tr>
      <w:tr w14:paraId="02EDDE28">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4928" w:type="dxa"/>
            <w:tcBorders>
              <w:top w:val="single" w:color="auto" w:sz="12" w:space="0"/>
              <w:left w:val="nil"/>
              <w:bottom w:val="single" w:color="auto" w:sz="12" w:space="0"/>
              <w:right w:val="nil"/>
            </w:tcBorders>
            <w:noWrap w:val="0"/>
            <w:vAlign w:val="center"/>
          </w:tcPr>
          <w:p w14:paraId="2C4D4439">
            <w:pPr>
              <w:widowControl/>
              <w:spacing w:line="360" w:lineRule="auto"/>
              <w:jc w:val="left"/>
              <w:rPr>
                <w:rFonts w:hint="eastAsia" w:ascii="宋体" w:hAnsi="宋体"/>
                <w:spacing w:val="-5"/>
                <w:kern w:val="0"/>
                <w:sz w:val="24"/>
              </w:rPr>
            </w:pPr>
            <w:r>
              <w:rPr>
                <w:rFonts w:hint="eastAsia" w:ascii="宋体" w:hAnsi="宋体"/>
                <w:spacing w:val="-5"/>
                <w:kern w:val="0"/>
                <w:sz w:val="24"/>
              </w:rPr>
              <w:t>统一社会信用代码：</w:t>
            </w:r>
            <w:r>
              <w:rPr>
                <w:rFonts w:hint="eastAsia" w:ascii="宋体" w:hAnsi="宋体"/>
                <w:kern w:val="0"/>
                <w:sz w:val="24"/>
              </w:rPr>
              <w:t>91370181MA3MJQRU4Y</w:t>
            </w:r>
          </w:p>
        </w:tc>
        <w:tc>
          <w:tcPr>
            <w:tcW w:w="4947" w:type="dxa"/>
            <w:tcBorders>
              <w:top w:val="single" w:color="auto" w:sz="12" w:space="0"/>
              <w:left w:val="nil"/>
              <w:bottom w:val="single" w:color="auto" w:sz="12" w:space="0"/>
              <w:right w:val="nil"/>
            </w:tcBorders>
            <w:noWrap w:val="0"/>
            <w:vAlign w:val="center"/>
          </w:tcPr>
          <w:p w14:paraId="32D007A0">
            <w:pPr>
              <w:widowControl/>
              <w:spacing w:line="360" w:lineRule="auto"/>
              <w:jc w:val="left"/>
              <w:rPr>
                <w:rFonts w:hint="eastAsia" w:ascii="宋体" w:hAnsi="宋体"/>
                <w:spacing w:val="-5"/>
                <w:kern w:val="0"/>
                <w:sz w:val="24"/>
              </w:rPr>
            </w:pPr>
            <w:r>
              <w:rPr>
                <w:rFonts w:hint="eastAsia" w:ascii="宋体" w:hAnsi="宋体"/>
                <w:spacing w:val="-5"/>
                <w:kern w:val="0"/>
                <w:sz w:val="24"/>
              </w:rPr>
              <w:t>统一社会信用代码：</w:t>
            </w:r>
          </w:p>
        </w:tc>
      </w:tr>
      <w:tr w14:paraId="45944079">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4928" w:type="dxa"/>
            <w:tcBorders>
              <w:top w:val="single" w:color="auto" w:sz="12" w:space="0"/>
              <w:left w:val="nil"/>
              <w:bottom w:val="single" w:color="auto" w:sz="12" w:space="0"/>
              <w:right w:val="nil"/>
            </w:tcBorders>
            <w:noWrap w:val="0"/>
            <w:vAlign w:val="center"/>
          </w:tcPr>
          <w:p w14:paraId="69DCC173">
            <w:pPr>
              <w:widowControl/>
              <w:snapToGrid w:val="0"/>
              <w:spacing w:line="360" w:lineRule="auto"/>
              <w:jc w:val="left"/>
              <w:rPr>
                <w:rFonts w:hint="eastAsia" w:ascii="宋体" w:hAnsi="宋体"/>
                <w:b/>
                <w:spacing w:val="-10"/>
                <w:kern w:val="0"/>
                <w:sz w:val="24"/>
              </w:rPr>
            </w:pPr>
            <w:r>
              <w:rPr>
                <w:rFonts w:hint="eastAsia" w:ascii="宋体" w:hAnsi="宋体"/>
                <w:spacing w:val="-5"/>
                <w:kern w:val="0"/>
                <w:sz w:val="24"/>
              </w:rPr>
              <w:t>地址：</w:t>
            </w:r>
            <w:r>
              <w:rPr>
                <w:rFonts w:hint="eastAsia" w:ascii="宋体" w:hAnsi="宋体"/>
                <w:kern w:val="0"/>
                <w:sz w:val="24"/>
              </w:rPr>
              <w:t>山东省济南市章丘区官庄街道青野村东</w:t>
            </w:r>
          </w:p>
        </w:tc>
        <w:tc>
          <w:tcPr>
            <w:tcW w:w="4947" w:type="dxa"/>
            <w:tcBorders>
              <w:top w:val="single" w:color="auto" w:sz="12" w:space="0"/>
              <w:left w:val="nil"/>
              <w:bottom w:val="single" w:color="auto" w:sz="12" w:space="0"/>
              <w:right w:val="nil"/>
            </w:tcBorders>
            <w:noWrap w:val="0"/>
            <w:vAlign w:val="top"/>
          </w:tcPr>
          <w:p w14:paraId="38D3CA44">
            <w:pPr>
              <w:widowControl/>
              <w:spacing w:line="360" w:lineRule="auto"/>
              <w:jc w:val="left"/>
              <w:rPr>
                <w:rFonts w:hint="eastAsia" w:ascii="宋体" w:hAnsi="宋体"/>
                <w:b/>
                <w:spacing w:val="-10"/>
                <w:kern w:val="0"/>
                <w:sz w:val="24"/>
              </w:rPr>
            </w:pPr>
            <w:r>
              <w:rPr>
                <w:rFonts w:hint="eastAsia" w:ascii="宋体" w:hAnsi="宋体"/>
                <w:spacing w:val="-5"/>
                <w:kern w:val="0"/>
                <w:sz w:val="24"/>
              </w:rPr>
              <w:t>地址：</w:t>
            </w:r>
          </w:p>
        </w:tc>
      </w:tr>
      <w:tr w14:paraId="2879D839">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4928" w:type="dxa"/>
            <w:tcBorders>
              <w:top w:val="single" w:color="auto" w:sz="12" w:space="0"/>
              <w:left w:val="nil"/>
              <w:bottom w:val="single" w:color="auto" w:sz="12" w:space="0"/>
              <w:right w:val="nil"/>
            </w:tcBorders>
            <w:noWrap w:val="0"/>
            <w:vAlign w:val="center"/>
          </w:tcPr>
          <w:p w14:paraId="57E3361F">
            <w:pPr>
              <w:widowControl/>
              <w:snapToGrid w:val="0"/>
              <w:spacing w:line="360" w:lineRule="auto"/>
              <w:jc w:val="left"/>
              <w:rPr>
                <w:rFonts w:hint="eastAsia" w:ascii="宋体" w:hAnsi="宋体"/>
                <w:spacing w:val="-5"/>
                <w:kern w:val="0"/>
                <w:sz w:val="24"/>
              </w:rPr>
            </w:pPr>
            <w:r>
              <w:rPr>
                <w:rFonts w:hint="eastAsia" w:ascii="宋体" w:hAnsi="宋体"/>
                <w:spacing w:val="-5"/>
                <w:kern w:val="0"/>
                <w:sz w:val="24"/>
              </w:rPr>
              <w:t>电话:</w:t>
            </w:r>
            <w:r>
              <w:rPr>
                <w:rFonts w:hint="eastAsia" w:ascii="宋体" w:hAnsi="宋体"/>
                <w:kern w:val="0"/>
                <w:sz w:val="24"/>
              </w:rPr>
              <w:t xml:space="preserve"> 0531-83790165</w:t>
            </w:r>
          </w:p>
        </w:tc>
        <w:tc>
          <w:tcPr>
            <w:tcW w:w="4947" w:type="dxa"/>
            <w:tcBorders>
              <w:top w:val="single" w:color="auto" w:sz="12" w:space="0"/>
              <w:left w:val="nil"/>
              <w:bottom w:val="single" w:color="auto" w:sz="12" w:space="0"/>
              <w:right w:val="nil"/>
            </w:tcBorders>
            <w:noWrap w:val="0"/>
            <w:vAlign w:val="center"/>
          </w:tcPr>
          <w:p w14:paraId="6539D42B">
            <w:pPr>
              <w:widowControl/>
              <w:spacing w:line="360" w:lineRule="auto"/>
              <w:jc w:val="left"/>
              <w:rPr>
                <w:rFonts w:ascii="宋体" w:hAnsi="宋体"/>
                <w:spacing w:val="-5"/>
                <w:kern w:val="0"/>
                <w:sz w:val="24"/>
              </w:rPr>
            </w:pPr>
            <w:r>
              <w:rPr>
                <w:rFonts w:hint="eastAsia" w:ascii="宋体" w:hAnsi="宋体"/>
                <w:spacing w:val="-5"/>
                <w:kern w:val="0"/>
                <w:sz w:val="24"/>
              </w:rPr>
              <w:t xml:space="preserve">电话: </w:t>
            </w:r>
          </w:p>
        </w:tc>
      </w:tr>
      <w:tr w14:paraId="3F799CDD">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4928" w:type="dxa"/>
            <w:tcBorders>
              <w:top w:val="single" w:color="auto" w:sz="12" w:space="0"/>
              <w:left w:val="nil"/>
              <w:bottom w:val="single" w:color="auto" w:sz="12" w:space="0"/>
              <w:right w:val="nil"/>
            </w:tcBorders>
            <w:noWrap w:val="0"/>
            <w:vAlign w:val="center"/>
          </w:tcPr>
          <w:p w14:paraId="78ED0141">
            <w:pPr>
              <w:widowControl/>
              <w:spacing w:line="360" w:lineRule="auto"/>
              <w:jc w:val="left"/>
              <w:rPr>
                <w:rFonts w:hint="eastAsia" w:ascii="宋体" w:hAnsi="宋体"/>
                <w:spacing w:val="-5"/>
                <w:kern w:val="0"/>
                <w:sz w:val="24"/>
              </w:rPr>
            </w:pPr>
          </w:p>
        </w:tc>
        <w:tc>
          <w:tcPr>
            <w:tcW w:w="4947" w:type="dxa"/>
            <w:tcBorders>
              <w:top w:val="single" w:color="auto" w:sz="12" w:space="0"/>
              <w:left w:val="nil"/>
              <w:bottom w:val="single" w:color="auto" w:sz="12" w:space="0"/>
              <w:right w:val="nil"/>
            </w:tcBorders>
            <w:noWrap w:val="0"/>
            <w:vAlign w:val="center"/>
          </w:tcPr>
          <w:p w14:paraId="23E050DC">
            <w:pPr>
              <w:widowControl/>
              <w:spacing w:line="360" w:lineRule="auto"/>
              <w:jc w:val="left"/>
              <w:rPr>
                <w:rFonts w:hint="eastAsia" w:ascii="宋体" w:hAnsi="宋体"/>
                <w:spacing w:val="-5"/>
                <w:kern w:val="0"/>
                <w:sz w:val="24"/>
              </w:rPr>
            </w:pPr>
            <w:r>
              <w:rPr>
                <w:rFonts w:hint="eastAsia" w:ascii="宋体" w:hAnsi="宋体"/>
                <w:spacing w:val="-5"/>
                <w:kern w:val="0"/>
                <w:sz w:val="24"/>
                <w:shd w:val="clear" w:color="auto" w:fill="FFFF00"/>
              </w:rPr>
              <w:t>日期：202</w:t>
            </w:r>
            <w:r>
              <w:rPr>
                <w:rFonts w:hint="eastAsia" w:ascii="宋体" w:hAnsi="宋体"/>
                <w:spacing w:val="-5"/>
                <w:kern w:val="0"/>
                <w:sz w:val="24"/>
                <w:shd w:val="clear" w:color="auto" w:fill="FFFF00"/>
                <w:lang w:val="en-US" w:eastAsia="zh-CN"/>
              </w:rPr>
              <w:t>5</w:t>
            </w:r>
            <w:r>
              <w:rPr>
                <w:rFonts w:hint="eastAsia" w:ascii="宋体" w:hAnsi="宋体"/>
                <w:spacing w:val="-5"/>
                <w:kern w:val="0"/>
                <w:sz w:val="24"/>
                <w:shd w:val="clear" w:color="auto" w:fill="FFFF00"/>
              </w:rPr>
              <w:t>年</w:t>
            </w:r>
            <w:r>
              <w:rPr>
                <w:rFonts w:hint="eastAsia" w:ascii="宋体" w:hAnsi="宋体"/>
                <w:spacing w:val="-5"/>
                <w:kern w:val="0"/>
                <w:sz w:val="24"/>
                <w:shd w:val="clear" w:color="auto" w:fill="FFFF00"/>
                <w:lang w:val="en-US" w:eastAsia="zh-CN"/>
              </w:rPr>
              <w:t xml:space="preserve">  </w:t>
            </w:r>
            <w:r>
              <w:rPr>
                <w:rFonts w:hint="eastAsia" w:ascii="宋体" w:hAnsi="宋体"/>
                <w:spacing w:val="-5"/>
                <w:kern w:val="0"/>
                <w:sz w:val="24"/>
                <w:shd w:val="clear" w:color="auto" w:fill="FFFF00"/>
              </w:rPr>
              <w:t>月</w:t>
            </w:r>
            <w:r>
              <w:rPr>
                <w:rFonts w:hint="eastAsia" w:ascii="宋体" w:hAnsi="宋体"/>
                <w:spacing w:val="-5"/>
                <w:kern w:val="0"/>
                <w:sz w:val="24"/>
                <w:shd w:val="clear" w:color="auto" w:fill="FFFF00"/>
                <w:lang w:val="en-US" w:eastAsia="zh-CN"/>
              </w:rPr>
              <w:t xml:space="preserve">  </w:t>
            </w:r>
            <w:r>
              <w:rPr>
                <w:rFonts w:hint="eastAsia" w:ascii="宋体" w:hAnsi="宋体"/>
                <w:spacing w:val="-5"/>
                <w:kern w:val="0"/>
                <w:sz w:val="24"/>
                <w:shd w:val="clear" w:color="auto" w:fill="FFFF00"/>
              </w:rPr>
              <w:t>日</w:t>
            </w:r>
          </w:p>
        </w:tc>
      </w:tr>
    </w:tbl>
    <w:p w14:paraId="373BDB6E">
      <w:pPr>
        <w:rPr>
          <w:rFonts w:ascii="宋体" w:hAnsi="宋体" w:eastAsia="宋体" w:cs="宋体"/>
          <w:sz w:val="31"/>
          <w:szCs w:val="31"/>
        </w:rPr>
      </w:pPr>
      <w:r>
        <w:rPr>
          <w:rFonts w:ascii="宋体" w:hAnsi="宋体" w:eastAsia="宋体" w:cs="宋体"/>
          <w:sz w:val="31"/>
          <w:szCs w:val="31"/>
        </w:rPr>
        <w:br w:type="page"/>
      </w:r>
    </w:p>
    <w:p w14:paraId="66BC688B">
      <w:pPr>
        <w:spacing w:line="300" w:lineRule="auto"/>
        <w:ind w:firstLine="275" w:firstLineChars="98"/>
        <w:rPr>
          <w:rFonts w:eastAsia="黑体"/>
          <w:b/>
        </w:rPr>
      </w:pPr>
      <w:r>
        <w:rPr>
          <w:rFonts w:hint="eastAsia" w:eastAsia="黑体"/>
          <w:b/>
          <w:sz w:val="28"/>
          <w:szCs w:val="28"/>
        </w:rPr>
        <w:t>附件</w:t>
      </w:r>
      <w:r>
        <w:rPr>
          <w:rFonts w:eastAsia="黑体"/>
          <w:b/>
          <w:sz w:val="28"/>
          <w:szCs w:val="28"/>
        </w:rPr>
        <w:t>1</w:t>
      </w:r>
      <w:r>
        <w:rPr>
          <w:rFonts w:eastAsia="黑体"/>
          <w:b/>
        </w:rPr>
        <w:t xml:space="preserve">             </w:t>
      </w:r>
    </w:p>
    <w:p w14:paraId="39C878A3">
      <w:pPr>
        <w:spacing w:line="300" w:lineRule="auto"/>
        <w:ind w:firstLine="3498" w:firstLineChars="968"/>
        <w:rPr>
          <w:rFonts w:eastAsia="仿宋_GB2312"/>
          <w:bCs/>
          <w:sz w:val="28"/>
          <w:szCs w:val="28"/>
        </w:rPr>
      </w:pPr>
      <w:r>
        <w:rPr>
          <w:rFonts w:hint="eastAsia" w:eastAsia="黑体"/>
          <w:b/>
          <w:sz w:val="36"/>
          <w:szCs w:val="36"/>
        </w:rPr>
        <w:t>工程质量保修书</w:t>
      </w:r>
    </w:p>
    <w:p w14:paraId="393E9B28">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发包人(全称)：</w:t>
      </w:r>
      <w:r>
        <w:rPr>
          <w:rFonts w:hint="eastAsia" w:ascii="宋体" w:hAnsi="宋体" w:cs="宋体"/>
          <w:kern w:val="0"/>
          <w:sz w:val="24"/>
          <w:u w:val="single"/>
        </w:rPr>
        <w:t>山东济钢环保新材料有限公司</w:t>
      </w:r>
      <w:r>
        <w:rPr>
          <w:rFonts w:hint="eastAsia" w:ascii="宋体" w:hAnsi="宋体" w:cs="宋体"/>
          <w:kern w:val="0"/>
          <w:sz w:val="24"/>
        </w:rPr>
        <w:t xml:space="preserve">         </w:t>
      </w:r>
    </w:p>
    <w:p w14:paraId="0C49EE15">
      <w:pPr>
        <w:widowControl/>
        <w:spacing w:line="360" w:lineRule="auto"/>
        <w:ind w:firstLine="480" w:firstLineChars="200"/>
        <w:contextualSpacing/>
        <w:jc w:val="left"/>
        <w:rPr>
          <w:rFonts w:hint="default" w:ascii="宋体" w:hAnsi="宋体" w:eastAsia="宋体" w:cs="宋体"/>
          <w:kern w:val="0"/>
          <w:sz w:val="24"/>
          <w:u w:val="single"/>
          <w:lang w:val="en-US" w:eastAsia="zh-CN"/>
        </w:rPr>
      </w:pPr>
      <w:r>
        <w:rPr>
          <w:rFonts w:hint="eastAsia" w:ascii="宋体" w:hAnsi="宋体" w:cs="宋体"/>
          <w:kern w:val="0"/>
          <w:sz w:val="24"/>
        </w:rPr>
        <w:t>承包人(全称)：</w:t>
      </w:r>
      <w:r>
        <w:rPr>
          <w:rFonts w:hint="eastAsia" w:ascii="宋体" w:hAnsi="宋体" w:cs="宋体"/>
          <w:kern w:val="0"/>
          <w:sz w:val="24"/>
          <w:u w:val="single"/>
        </w:rPr>
        <w:t xml:space="preserve">         </w:t>
      </w:r>
      <w:r>
        <w:rPr>
          <w:rFonts w:hint="eastAsia" w:ascii="宋体" w:hAnsi="宋体" w:eastAsia="宋体" w:cs="宋体"/>
          <w:kern w:val="0"/>
          <w:sz w:val="24"/>
          <w:u w:val="single"/>
          <w:lang w:val="en-US" w:eastAsia="zh-CN"/>
        </w:rPr>
        <w:t xml:space="preserve">                 </w:t>
      </w:r>
    </w:p>
    <w:p w14:paraId="54E5AA96">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发包人、承包人根据《中华人民共和国民法典》、《中华人民共和国建筑法》，经协商一致，对山东济钢环保新材料有限公司  工程签订工程质量保修书。</w:t>
      </w:r>
    </w:p>
    <w:p w14:paraId="064B5616">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1、工程质量保修范围和内容</w:t>
      </w:r>
    </w:p>
    <w:p w14:paraId="197F026F">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承包人在质量保修期内，按照有关法律、法规、规章规定和双方约定，承担本工程质量保修责任。</w:t>
      </w:r>
    </w:p>
    <w:p w14:paraId="25E5ADA6">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具体保修的内容，双方约定如下：承包人承包范围内的所有工程项目均为保修内容。</w:t>
      </w:r>
    </w:p>
    <w:p w14:paraId="5E3298D1">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2、质量缺陷修复期</w:t>
      </w:r>
    </w:p>
    <w:p w14:paraId="6D8A1EB9">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自工程竣工验收合格之日起12个月内。</w:t>
      </w:r>
    </w:p>
    <w:p w14:paraId="3F293589">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3、质量保修责任</w:t>
      </w:r>
    </w:p>
    <w:p w14:paraId="0A69E098">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3.1属于保修范围、内容的项目，承包人应当在接到保修通知之日起7天内派人保修。不在约定期限内派人保修的，发包人可以委托他人修理，修复费用从保留金内扣除。</w:t>
      </w:r>
    </w:p>
    <w:p w14:paraId="5F7CB3EE">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3.2发生紧急抢修事故的，承包人在接到事故通知后，应当立即到达事故现场抢修。</w:t>
      </w:r>
    </w:p>
    <w:p w14:paraId="238FC131">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3.3对于涉及结构安全的质量问题，应当按照有关规定，立即向当地建设行政主管部门报告，采取安全防范措施；由原设计单位或者具有相应资质等级的设计单位提出保修方案，承包人实施保修。</w:t>
      </w:r>
    </w:p>
    <w:p w14:paraId="07CF7814">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3.4在国家规定的工程合理使用期限内，承包人确保基础工程和主体结构的质量。因承包人原因致使工程在合理使用期限内造成人身和财产损害的，承包人应承担赔偿责任。</w:t>
      </w:r>
    </w:p>
    <w:p w14:paraId="11A404FA">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3.5质量保修完成后，由发包人组织验收。</w:t>
      </w:r>
    </w:p>
    <w:p w14:paraId="342DAF4F">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3.6保修费用由造成质量缺陷的责任方承担。</w:t>
      </w:r>
    </w:p>
    <w:p w14:paraId="5BE8C07D">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4、工程质保金</w:t>
      </w:r>
    </w:p>
    <w:p w14:paraId="580FE16E">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本工程约定的工程质保金为施工合同价款的5%。</w:t>
      </w:r>
    </w:p>
    <w:p w14:paraId="66204D72">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5、工程保留金的返还</w:t>
      </w:r>
    </w:p>
    <w:p w14:paraId="12628AF2">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发包人在质量保修责任期满且无责任事故后将保留金返还承包人。</w:t>
      </w:r>
    </w:p>
    <w:p w14:paraId="1EBC8195">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6、其他</w:t>
      </w:r>
    </w:p>
    <w:p w14:paraId="53E1E57F">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6.1双方约定的其他工程质量保修事项：无。</w:t>
      </w:r>
    </w:p>
    <w:p w14:paraId="06925258">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6.2本工程质量保修书，由施工合同发包人、承包人双方在竣工验收前共同签署，作为施工合同附件，其有效期限至保修期满。</w:t>
      </w:r>
    </w:p>
    <w:p w14:paraId="025C0713">
      <w:pPr>
        <w:widowControl/>
        <w:spacing w:line="360" w:lineRule="auto"/>
        <w:ind w:firstLine="480" w:firstLineChars="200"/>
        <w:contextualSpacing/>
        <w:jc w:val="left"/>
        <w:rPr>
          <w:rFonts w:hint="eastAsia" w:ascii="宋体" w:hAnsi="宋体" w:cs="宋体"/>
          <w:kern w:val="0"/>
          <w:sz w:val="24"/>
        </w:rPr>
      </w:pPr>
    </w:p>
    <w:p w14:paraId="1ACC802C">
      <w:pPr>
        <w:widowControl/>
        <w:spacing w:line="360" w:lineRule="auto"/>
        <w:ind w:firstLine="480" w:firstLineChars="200"/>
        <w:contextualSpacing/>
        <w:jc w:val="left"/>
        <w:rPr>
          <w:rFonts w:hint="eastAsia" w:ascii="宋体" w:hAnsi="宋体" w:cs="宋体"/>
          <w:kern w:val="0"/>
          <w:sz w:val="24"/>
        </w:rPr>
      </w:pPr>
    </w:p>
    <w:p w14:paraId="47E00FEB">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发 包 人：(公章)                 承  包  人：(公章)</w:t>
      </w:r>
    </w:p>
    <w:p w14:paraId="712F4193">
      <w:pPr>
        <w:widowControl/>
        <w:spacing w:line="360" w:lineRule="auto"/>
        <w:ind w:firstLine="480" w:firstLineChars="200"/>
        <w:contextualSpacing/>
        <w:jc w:val="left"/>
        <w:rPr>
          <w:rFonts w:hint="eastAsia" w:ascii="宋体" w:hAnsi="宋体" w:cs="宋体"/>
          <w:kern w:val="0"/>
          <w:sz w:val="24"/>
        </w:rPr>
      </w:pPr>
    </w:p>
    <w:p w14:paraId="4060047B">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委托代理人：                     委托代理人：</w:t>
      </w:r>
    </w:p>
    <w:p w14:paraId="709425A7">
      <w:pPr>
        <w:widowControl/>
        <w:spacing w:line="360" w:lineRule="auto"/>
        <w:ind w:firstLine="480" w:firstLineChars="200"/>
        <w:contextualSpacing/>
        <w:jc w:val="left"/>
        <w:rPr>
          <w:rFonts w:hint="eastAsia" w:ascii="宋体" w:hAnsi="宋体" w:cs="宋体"/>
          <w:kern w:val="0"/>
          <w:sz w:val="24"/>
        </w:rPr>
      </w:pPr>
    </w:p>
    <w:p w14:paraId="1F60A79E">
      <w:pPr>
        <w:widowControl/>
        <w:spacing w:line="360" w:lineRule="auto"/>
        <w:ind w:firstLine="480" w:firstLineChars="200"/>
        <w:contextualSpacing/>
        <w:jc w:val="left"/>
        <w:rPr>
          <w:rFonts w:hint="eastAsia" w:ascii="宋体" w:hAnsi="宋体" w:cs="宋体"/>
          <w:kern w:val="0"/>
          <w:sz w:val="24"/>
        </w:rPr>
      </w:pPr>
    </w:p>
    <w:p w14:paraId="4BF2747B">
      <w:pPr>
        <w:widowControl/>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日  期：          年      月       日</w:t>
      </w:r>
    </w:p>
    <w:p w14:paraId="00A4C5DC">
      <w:pPr>
        <w:widowControl/>
        <w:spacing w:line="360" w:lineRule="auto"/>
        <w:ind w:firstLine="480" w:firstLineChars="200"/>
        <w:contextualSpacing/>
        <w:jc w:val="left"/>
        <w:rPr>
          <w:rFonts w:hint="eastAsia" w:ascii="宋体" w:hAnsi="宋体" w:cs="宋体"/>
          <w:kern w:val="0"/>
          <w:sz w:val="24"/>
          <w:lang w:val="en-US" w:eastAsia="zh-CN"/>
        </w:rPr>
      </w:pPr>
      <w:r>
        <w:rPr>
          <w:rFonts w:hint="eastAsia" w:ascii="宋体" w:hAnsi="宋体" w:cs="宋体"/>
          <w:kern w:val="0"/>
          <w:sz w:val="24"/>
        </w:rPr>
        <w:br w:type="page"/>
      </w:r>
    </w:p>
    <w:p w14:paraId="4F5E29EE">
      <w:pPr>
        <w:spacing w:line="300" w:lineRule="auto"/>
        <w:ind w:firstLine="275" w:firstLineChars="98"/>
        <w:rPr>
          <w:rFonts w:hint="eastAsia" w:eastAsia="黑体"/>
          <w:b/>
          <w:sz w:val="28"/>
          <w:szCs w:val="28"/>
        </w:rPr>
      </w:pPr>
      <w:r>
        <w:rPr>
          <w:rFonts w:hint="eastAsia" w:eastAsia="黑体"/>
          <w:b/>
          <w:sz w:val="28"/>
          <w:szCs w:val="28"/>
        </w:rPr>
        <w:t>附件2</w:t>
      </w:r>
    </w:p>
    <w:p w14:paraId="1B0A21B3">
      <w:pPr>
        <w:spacing w:line="300" w:lineRule="auto"/>
        <w:ind w:firstLine="3054" w:firstLineChars="845"/>
        <w:rPr>
          <w:rFonts w:hint="eastAsia" w:eastAsia="黑体"/>
          <w:b/>
          <w:sz w:val="36"/>
          <w:szCs w:val="36"/>
        </w:rPr>
      </w:pPr>
      <w:r>
        <w:rPr>
          <w:rFonts w:hint="eastAsia" w:eastAsia="黑体"/>
          <w:b/>
          <w:sz w:val="36"/>
          <w:szCs w:val="36"/>
        </w:rPr>
        <w:t>安全文明施工协议书</w:t>
      </w:r>
    </w:p>
    <w:p w14:paraId="057A729C">
      <w:pPr>
        <w:spacing w:line="300" w:lineRule="auto"/>
        <w:ind w:firstLine="3054" w:firstLineChars="845"/>
        <w:rPr>
          <w:rFonts w:eastAsia="黑体"/>
          <w:b/>
          <w:sz w:val="36"/>
          <w:szCs w:val="36"/>
        </w:rPr>
      </w:pPr>
    </w:p>
    <w:p w14:paraId="546DD563">
      <w:pPr>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发包人：</w:t>
      </w:r>
      <w:r>
        <w:rPr>
          <w:rFonts w:hint="eastAsia" w:ascii="宋体" w:hAnsi="宋体" w:eastAsia="宋体" w:cs="宋体"/>
          <w:sz w:val="28"/>
          <w:szCs w:val="28"/>
          <w:u w:val="single"/>
        </w:rPr>
        <w:t xml:space="preserve">山东济钢环保新材料有限公司         </w:t>
      </w:r>
    </w:p>
    <w:p w14:paraId="1C9C2D5C">
      <w:pPr>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承包人：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5DF54E41">
      <w:pPr>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根据《山东省扬尘污染防治管理办法》、《济南市扬尘污染防治管理规定》等相关法律、法规以及济南市关于进一步加强扬尘污染防治工作的实施方案的要求，发承包双方就承包人在发包人进行工程施工中的有关扬尘污染防治措施协商一致，达成如下协议：</w:t>
      </w:r>
    </w:p>
    <w:p w14:paraId="0B65C40C">
      <w:pPr>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一、发包人责任</w:t>
      </w:r>
    </w:p>
    <w:p w14:paraId="02977AFA">
      <w:pPr>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（一）负责对承包人各项防治措施的落实情况进行监督检查；</w:t>
      </w:r>
    </w:p>
    <w:p w14:paraId="01F86409">
      <w:pPr>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（二）负责对承包人在防治措施实施过程中的违法行为进行督促整改。</w:t>
      </w:r>
    </w:p>
    <w:p w14:paraId="1F3F23BE">
      <w:pPr>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二、承包人责任</w:t>
      </w:r>
    </w:p>
    <w:p w14:paraId="574086E3">
      <w:pPr>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（一）负责建立扬尘污染防治责任制。</w:t>
      </w:r>
    </w:p>
    <w:p w14:paraId="73B9AF80">
      <w:pPr>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）如果在施工过程中使用易产生扬尘的建筑材料，负责采取密闭存储、采用防尘布苫盖或者其他防尘措施。</w:t>
      </w:r>
    </w:p>
    <w:p w14:paraId="6DBA8D50">
      <w:pPr>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三</w:t>
      </w:r>
      <w:r>
        <w:rPr>
          <w:rFonts w:hint="eastAsia" w:ascii="宋体" w:hAnsi="宋体" w:eastAsia="宋体" w:cs="宋体"/>
          <w:sz w:val="28"/>
          <w:szCs w:val="28"/>
        </w:rPr>
        <w:t>）负责将施工过程中产生的建筑垃圾及时清运，未能及时清运的，采取有效防尘措施。</w:t>
      </w:r>
    </w:p>
    <w:p w14:paraId="13DCD8D1">
      <w:pPr>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四</w:t>
      </w:r>
      <w:r>
        <w:rPr>
          <w:rFonts w:hint="eastAsia" w:ascii="宋体" w:hAnsi="宋体" w:eastAsia="宋体" w:cs="宋体"/>
          <w:sz w:val="28"/>
          <w:szCs w:val="28"/>
        </w:rPr>
        <w:t>）对于物料堆存扬尘污染的防治，执行《山东省扬尘污染防治管理办法》第十四条、《济南市扬尘污染防治管理规定》第十五条的规定。</w:t>
      </w:r>
    </w:p>
    <w:p w14:paraId="08AD06E2">
      <w:pPr>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三、违约责任</w:t>
      </w:r>
    </w:p>
    <w:p w14:paraId="69DF50FA">
      <w:pPr>
        <w:spacing w:line="300" w:lineRule="auto"/>
        <w:ind w:firstLine="560" w:firstLineChars="200"/>
        <w:jc w:val="both"/>
        <w:rPr>
          <w:rFonts w:hint="eastAsia" w:ascii="宋体" w:hAnsi="宋体" w:eastAsia="宋体" w:cs="宋体"/>
          <w:sz w:val="28"/>
          <w:szCs w:val="28"/>
        </w:rPr>
      </w:pPr>
      <w:r>
        <w:rPr>
          <w:rFonts w:hint="eastAsia" w:ascii="宋体" w:hAnsi="宋体" w:eastAsia="宋体" w:cs="宋体"/>
          <w:sz w:val="28"/>
          <w:szCs w:val="28"/>
        </w:rPr>
        <w:t>因承包人违反上述条款规定，被甲方发现的，每次处以2000-5000 元的罚款；被相关执法部门查处的，除承担罚款外，每次扣罚5000-10000元；被媒体报道、曝光或被上级主要领导批评的，每次处以10000-20000元的罚款。</w:t>
      </w:r>
    </w:p>
    <w:p w14:paraId="02DBE46A">
      <w:pPr>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四、本协议经双方签字盖章后生效，双方合作期间有效；双方合作期满，结清款项后失效。</w:t>
      </w:r>
    </w:p>
    <w:p w14:paraId="7C70A1FC">
      <w:pPr>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五、本协议一式两份，双方各执一份，均具同等法律效力。</w:t>
      </w:r>
    </w:p>
    <w:p w14:paraId="103CB3EF">
      <w:pPr>
        <w:spacing w:line="300" w:lineRule="auto"/>
        <w:ind w:firstLine="560" w:firstLineChars="200"/>
        <w:rPr>
          <w:rFonts w:hint="eastAsia" w:ascii="宋体" w:hAnsi="宋体" w:eastAsia="宋体" w:cs="宋体"/>
          <w:sz w:val="28"/>
          <w:szCs w:val="28"/>
        </w:rPr>
      </w:pPr>
    </w:p>
    <w:p w14:paraId="36098372">
      <w:pPr>
        <w:spacing w:line="300" w:lineRule="auto"/>
        <w:rPr>
          <w:rFonts w:hint="eastAsia" w:ascii="宋体" w:hAnsi="宋体" w:eastAsia="宋体" w:cs="宋体"/>
          <w:sz w:val="28"/>
          <w:szCs w:val="28"/>
        </w:rPr>
      </w:pPr>
      <w:r>
        <w:rPr>
          <w:rFonts w:hint="eastAsia" w:ascii="宋体" w:hAnsi="宋体" w:eastAsia="宋体" w:cs="宋体"/>
          <w:sz w:val="28"/>
          <w:szCs w:val="28"/>
        </w:rPr>
        <w:t>发包人（盖章）：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承包人（盖章）：</w:t>
      </w:r>
    </w:p>
    <w:p w14:paraId="3E43FE0C">
      <w:pPr>
        <w:spacing w:line="300" w:lineRule="auto"/>
        <w:ind w:firstLine="560" w:firstLineChars="200"/>
        <w:rPr>
          <w:rFonts w:hint="eastAsia" w:ascii="宋体" w:hAnsi="宋体" w:eastAsia="宋体" w:cs="宋体"/>
          <w:sz w:val="28"/>
          <w:szCs w:val="28"/>
        </w:rPr>
      </w:pPr>
    </w:p>
    <w:p w14:paraId="269762F2">
      <w:pPr>
        <w:spacing w:line="300" w:lineRule="auto"/>
        <w:rPr>
          <w:rFonts w:hint="eastAsia" w:ascii="宋体" w:hAnsi="宋体" w:eastAsia="宋体" w:cs="宋体"/>
          <w:sz w:val="28"/>
          <w:szCs w:val="28"/>
        </w:rPr>
      </w:pPr>
      <w:r>
        <w:rPr>
          <w:rFonts w:hint="eastAsia" w:ascii="宋体" w:hAnsi="宋体" w:eastAsia="宋体" w:cs="宋体"/>
          <w:sz w:val="28"/>
          <w:szCs w:val="28"/>
        </w:rPr>
        <w:t>委托代理人（签字）：　　　　委托代理人（签字）：</w:t>
      </w:r>
    </w:p>
    <w:p w14:paraId="0EF75AD9">
      <w:pPr>
        <w:spacing w:line="300" w:lineRule="auto"/>
        <w:ind w:firstLine="3640" w:firstLineChars="1300"/>
        <w:rPr>
          <w:rFonts w:hint="eastAsia" w:ascii="宋体" w:hAnsi="宋体" w:eastAsia="宋体" w:cs="宋体"/>
          <w:sz w:val="28"/>
          <w:szCs w:val="28"/>
        </w:rPr>
      </w:pPr>
    </w:p>
    <w:p w14:paraId="7EB22769">
      <w:pPr>
        <w:spacing w:line="300" w:lineRule="auto"/>
        <w:ind w:firstLine="3640" w:firstLineChars="1300"/>
        <w:rPr>
          <w:rFonts w:hint="eastAsia" w:ascii="宋体" w:hAnsi="宋体" w:eastAsia="宋体" w:cs="宋体"/>
          <w:sz w:val="28"/>
          <w:szCs w:val="28"/>
        </w:rPr>
      </w:pPr>
      <w:r>
        <w:rPr>
          <w:rFonts w:hint="eastAsia" w:ascii="宋体" w:hAnsi="宋体" w:eastAsia="宋体" w:cs="宋体"/>
          <w:sz w:val="28"/>
          <w:szCs w:val="28"/>
        </w:rPr>
        <w:t>日  期：      年    月    日</w:t>
      </w:r>
    </w:p>
    <w:p w14:paraId="05AF3C0F">
      <w:pPr>
        <w:spacing w:line="300" w:lineRule="auto"/>
        <w:ind w:firstLine="560" w:firstLineChars="200"/>
        <w:rPr>
          <w:rFonts w:hint="eastAsia" w:ascii="宋体" w:hAnsi="宋体" w:eastAsia="宋体" w:cs="宋体"/>
          <w:sz w:val="28"/>
          <w:szCs w:val="28"/>
        </w:rPr>
      </w:pPr>
    </w:p>
    <w:p w14:paraId="1E6738C2">
      <w:pPr>
        <w:widowControl/>
        <w:spacing w:after="156" w:afterLines="50" w:line="400" w:lineRule="exact"/>
        <w:jc w:val="both"/>
        <w:outlineLvl w:val="3"/>
        <w:rPr>
          <w:rFonts w:hint="eastAsia" w:ascii="宋体" w:hAnsi="宋体"/>
          <w:b/>
          <w:bCs/>
          <w:kern w:val="0"/>
          <w:sz w:val="24"/>
          <w:szCs w:val="24"/>
          <w:lang w:val="en-US" w:eastAsia="zh-CN"/>
        </w:rPr>
      </w:pPr>
      <w:r>
        <w:rPr>
          <w:rFonts w:eastAsia="黑体"/>
          <w:b/>
          <w:sz w:val="36"/>
          <w:szCs w:val="36"/>
        </w:rPr>
        <w:br w:type="page"/>
      </w:r>
    </w:p>
    <w:p w14:paraId="51255C4E">
      <w:pPr>
        <w:widowControl/>
        <w:spacing w:after="156" w:afterLines="50" w:line="400" w:lineRule="exact"/>
        <w:jc w:val="both"/>
        <w:outlineLvl w:val="3"/>
        <w:rPr>
          <w:rFonts w:hint="default" w:ascii="宋体" w:hAnsi="宋体" w:eastAsia="宋体"/>
          <w:b/>
          <w:bCs/>
          <w:kern w:val="0"/>
          <w:sz w:val="24"/>
          <w:szCs w:val="24"/>
          <w:lang w:val="en-US" w:eastAsia="zh-CN"/>
        </w:rPr>
      </w:pPr>
      <w:r>
        <w:rPr>
          <w:rFonts w:hint="eastAsia" w:ascii="宋体" w:hAnsi="宋体"/>
          <w:b/>
          <w:bCs/>
          <w:kern w:val="0"/>
          <w:sz w:val="24"/>
          <w:szCs w:val="24"/>
          <w:lang w:val="en-US" w:eastAsia="zh-CN"/>
        </w:rPr>
        <w:t>附件3</w:t>
      </w:r>
    </w:p>
    <w:p w14:paraId="145C090F">
      <w:pPr>
        <w:widowControl/>
        <w:spacing w:after="156" w:afterLines="50" w:line="400" w:lineRule="exact"/>
        <w:jc w:val="center"/>
        <w:outlineLvl w:val="3"/>
        <w:rPr>
          <w:rFonts w:hint="eastAsia" w:ascii="黑体" w:hAnsi="宋体" w:eastAsia="黑体" w:cs="宋体"/>
          <w:b/>
          <w:bCs/>
          <w:spacing w:val="5"/>
          <w:kern w:val="0"/>
          <w:sz w:val="30"/>
          <w:szCs w:val="30"/>
        </w:rPr>
      </w:pPr>
      <w:r>
        <w:rPr>
          <w:rFonts w:ascii="宋体" w:hAnsi="宋体"/>
          <w:kern w:val="0"/>
          <w:sz w:val="24"/>
          <w:szCs w:val="24"/>
        </w:rPr>
        <w:t xml:space="preserve">   </w:t>
      </w:r>
      <w:r>
        <w:rPr>
          <w:rFonts w:hint="eastAsia" w:ascii="宋体" w:hAnsi="宋体" w:cs="宋体"/>
          <w:b/>
          <w:bCs/>
          <w:spacing w:val="5"/>
          <w:kern w:val="0"/>
          <w:sz w:val="30"/>
          <w:szCs w:val="30"/>
        </w:rPr>
        <w:t>廉洁协议书</w:t>
      </w:r>
    </w:p>
    <w:p w14:paraId="768B1414">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甲方：</w:t>
      </w:r>
      <w:r>
        <w:rPr>
          <w:rFonts w:hint="eastAsia" w:ascii="宋体" w:hAnsi="宋体" w:cs="宋体"/>
          <w:kern w:val="0"/>
          <w:sz w:val="28"/>
          <w:szCs w:val="28"/>
          <w:u w:val="single"/>
        </w:rPr>
        <w:t>山东济钢环保新材料有限公司</w:t>
      </w:r>
    </w:p>
    <w:p w14:paraId="3E64C524">
      <w:pPr>
        <w:widowControl/>
        <w:spacing w:line="360" w:lineRule="auto"/>
        <w:ind w:firstLine="560" w:firstLineChars="200"/>
        <w:contextualSpacing/>
        <w:jc w:val="left"/>
        <w:rPr>
          <w:rFonts w:hint="default" w:ascii="宋体" w:hAnsi="宋体" w:cs="宋体"/>
          <w:kern w:val="0"/>
          <w:sz w:val="28"/>
          <w:szCs w:val="28"/>
          <w:u w:val="single"/>
          <w:lang w:val="en-US" w:eastAsia="zh-CN"/>
        </w:rPr>
      </w:pPr>
      <w:r>
        <w:rPr>
          <w:rFonts w:hint="eastAsia" w:ascii="宋体" w:hAnsi="宋体" w:cs="宋体"/>
          <w:kern w:val="0"/>
          <w:sz w:val="28"/>
          <w:szCs w:val="28"/>
        </w:rPr>
        <w:t>乙方：</w:t>
      </w:r>
      <w:r>
        <w:rPr>
          <w:rFonts w:hint="eastAsia" w:ascii="宋体" w:hAnsi="宋体" w:cs="宋体"/>
          <w:kern w:val="0"/>
          <w:sz w:val="28"/>
          <w:szCs w:val="28"/>
          <w:u w:val="single"/>
          <w:lang w:val="en-US" w:eastAsia="zh-CN"/>
        </w:rPr>
        <w:t xml:space="preserve">                          </w:t>
      </w:r>
    </w:p>
    <w:p w14:paraId="7D7165F6">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为规范甲乙双方在买卖合作过程中的廉洁行为，保证双方合作的公平、公正性，特订立本协议，供双方遵守执行。</w:t>
      </w:r>
    </w:p>
    <w:p w14:paraId="1D76415B">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第一条 甲乙双方共同责任</w:t>
      </w:r>
    </w:p>
    <w:p w14:paraId="591076F6">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1、严格遵守国家的法律法规及廉政建设有关规定。</w:t>
      </w:r>
    </w:p>
    <w:p w14:paraId="6540E00D">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2、共同营造廉洁、诚信、公平、公正的业务交往环境。</w:t>
      </w:r>
    </w:p>
    <w:p w14:paraId="79CFCA0F">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3、加强对有关人员的管理和教育，自觉抵制不廉洁行为。</w:t>
      </w:r>
    </w:p>
    <w:p w14:paraId="2AAFBF8C">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4、发现对方及及其人员在业务活动中有违反廉政规定的行为，有及时要求对方纠正，并向纪检监察机关或司法机关举报的权利和义务。</w:t>
      </w:r>
    </w:p>
    <w:p w14:paraId="3AAA8D5C">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第二条 甲方及其人员的责任</w:t>
      </w:r>
    </w:p>
    <w:p w14:paraId="68D01FAD">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1、禁止索要或接受乙方及其相关单位和人员提供的回扣、礼金、有价证劵、支付凭证、贵重物品等。</w:t>
      </w:r>
    </w:p>
    <w:p w14:paraId="2AF9C315">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2、禁止在乙方及其相关单位报销任何应由甲方或个人支付的费用。</w:t>
      </w:r>
    </w:p>
    <w:p w14:paraId="2EEAABB2">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3、禁止在乙方及其相关单位投资入股，禁止向乙方单位及人员借款或委托买卖股票、债券等。</w:t>
      </w:r>
    </w:p>
    <w:p w14:paraId="36A65D1C">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4、禁止暗示、要求和接受乙方及其相关单位为其购买或装修住房，为婚丧嫁娶、配偶和子女的工作安排或上学等提供方便。</w:t>
      </w:r>
    </w:p>
    <w:p w14:paraId="4CFE015E">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5、禁止接受乙方及其相关单位安排的宴请以及旅游、健身等娱乐活动。</w:t>
      </w:r>
    </w:p>
    <w:p w14:paraId="13DCDBCF">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6、禁止接受乙方及其相关单位购置或提供的通讯工具、交通工具和高档办公用品。</w:t>
      </w:r>
    </w:p>
    <w:p w14:paraId="1B16A7FE">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7、禁止通过乙方及其相关单位为其配偶、子女及他人谋取不正当利益。</w:t>
      </w:r>
    </w:p>
    <w:p w14:paraId="591E698E">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8、禁止在乙方或乙方相关单位兼职和领取兼职工资及报酬；禁止利用甲方的商业秘密谋取个人私利。</w:t>
      </w:r>
    </w:p>
    <w:p w14:paraId="6258E186">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9、禁止利用职权和工作之便向乙方提出上述各项禁止事项之外其它违背党规党纪、国家法律法规和本公司廉洁自律有关规定的事项或要求。</w:t>
      </w:r>
    </w:p>
    <w:p w14:paraId="2E26D667">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第三条 乙方及其人员责任</w:t>
      </w:r>
    </w:p>
    <w:p w14:paraId="26D38557">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1、禁止向甲方及其人员提供回扣、礼金、有价证劵、支付凭证、贵重物品等。</w:t>
      </w:r>
    </w:p>
    <w:p w14:paraId="7E451E77">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2、禁止为甲方及其人员报销应由甲方或甲方个人支付的费用。</w:t>
      </w:r>
    </w:p>
    <w:p w14:paraId="33CEDA06">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3、禁止为甲方及其人员在乙方投资入股、个人借款等提供方便。</w:t>
      </w:r>
    </w:p>
    <w:p w14:paraId="5924289D">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4、禁止为甲方及其人员购买或装修住房，为婚丧嫁娶、配偶和子女工作安排或上学等提供方便。</w:t>
      </w:r>
    </w:p>
    <w:p w14:paraId="1FA86540">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5、禁止为甲方及其人员安排宴请以及旅游、健身、娱乐等活动。</w:t>
      </w:r>
    </w:p>
    <w:p w14:paraId="5A9808F0">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6、禁止为甲方及其人员购置或提供通讯工具、交通工具和高档办公用品。</w:t>
      </w:r>
    </w:p>
    <w:p w14:paraId="7AA61A98">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7、禁止为甲方及其人员的配偶、子女及其它亲属谋取不正当利益提供方便。</w:t>
      </w:r>
    </w:p>
    <w:p w14:paraId="28D9D1CF">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8、禁止安排甲方人员在乙方或乙方相关企业兼职和领取兼职工资及报酬；禁止向甲方人员打探有关涉及甲方的商业秘密。</w:t>
      </w:r>
    </w:p>
    <w:p w14:paraId="5A9B4EB4">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9、甲方对涉嫌与甲方有关的不廉洁行为进行调查时，乙方有配合甲方提供证据、作证的义务。</w:t>
      </w:r>
    </w:p>
    <w:p w14:paraId="77F56BC0">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第四条 违约责任</w:t>
      </w:r>
    </w:p>
    <w:p w14:paraId="59A6DE05">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1、甲方及其人员有违反本协议第一条、第二条规定的，按照管理权限，依据有关纪律规定给予有关人员纪律处分或组织处理；涉嫌犯罪的，移交司法机关追究刑事责任。</w:t>
      </w:r>
    </w:p>
    <w:p w14:paraId="36CD5112">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2、乙方及其人员有违反本协议第一条、第三条规定的，甲方有权依据本协议单方决定变更甲、乙双方所有合同中关于数额、履行期限等相关权利与义务的条款，且有权解除与乙方的所有协议、合同并不承担任何违约责任。甲方并有权要求乙方赔偿由此造成的甲方损失（包括直接损失、可得利益损失、律师费等）。涉嫌犯罪的，移交司法机关追究刑事责任。</w:t>
      </w:r>
    </w:p>
    <w:p w14:paraId="4A9FC2AA">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第五条 本协议经双方签署后生效</w:t>
      </w:r>
    </w:p>
    <w:p w14:paraId="636F94A3">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甲乙双方通过招标或其它方式签订业务合同时，必须签署本协议。本协议作为业务合同的附件，与合同具有同等效力；如双方未签订合同，本协议独立有效。</w:t>
      </w:r>
    </w:p>
    <w:p w14:paraId="7F5C998B">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第六条 甲乙双方及其人员在合同履行完毕后，发现在合同执行期间有违反本协议规定的行为，仍按本协议规定处理。</w:t>
      </w:r>
    </w:p>
    <w:p w14:paraId="7EB10D5A">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第七条 由此引起的纠纷由甲方所在地人民法院管辖。</w:t>
      </w:r>
    </w:p>
    <w:p w14:paraId="58D28304">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 xml:space="preserve"> </w:t>
      </w:r>
    </w:p>
    <w:p w14:paraId="68457D30">
      <w:pPr>
        <w:widowControl/>
        <w:spacing w:line="360" w:lineRule="auto"/>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（以下无正文）</w:t>
      </w:r>
    </w:p>
    <w:tbl>
      <w:tblPr>
        <w:tblStyle w:val="11"/>
        <w:tblW w:w="5000" w:type="pct"/>
        <w:jc w:val="center"/>
        <w:tblLayout w:type="autofit"/>
        <w:tblCellMar>
          <w:top w:w="0" w:type="dxa"/>
          <w:left w:w="108" w:type="dxa"/>
          <w:bottom w:w="0" w:type="dxa"/>
          <w:right w:w="108" w:type="dxa"/>
        </w:tblCellMar>
      </w:tblPr>
      <w:tblGrid>
        <w:gridCol w:w="4627"/>
        <w:gridCol w:w="4198"/>
      </w:tblGrid>
      <w:tr w14:paraId="3FB7A75D">
        <w:tblPrEx>
          <w:tblCellMar>
            <w:top w:w="0" w:type="dxa"/>
            <w:left w:w="108" w:type="dxa"/>
            <w:bottom w:w="0" w:type="dxa"/>
            <w:right w:w="108" w:type="dxa"/>
          </w:tblCellMar>
        </w:tblPrEx>
        <w:trPr>
          <w:jc w:val="center"/>
        </w:trPr>
        <w:tc>
          <w:tcPr>
            <w:tcW w:w="2621" w:type="pct"/>
            <w:tcBorders>
              <w:top w:val="nil"/>
              <w:left w:val="nil"/>
              <w:bottom w:val="nil"/>
              <w:right w:val="nil"/>
            </w:tcBorders>
            <w:noWrap w:val="0"/>
            <w:vAlign w:val="top"/>
          </w:tcPr>
          <w:p w14:paraId="47CE209E">
            <w:pPr>
              <w:widowControl/>
              <w:spacing w:line="360" w:lineRule="auto"/>
              <w:ind w:left="1960" w:hanging="1960" w:hangingChars="700"/>
              <w:contextualSpacing/>
              <w:jc w:val="left"/>
              <w:rPr>
                <w:rFonts w:hint="eastAsia" w:ascii="宋体" w:hAnsi="宋体"/>
                <w:kern w:val="0"/>
                <w:sz w:val="28"/>
                <w:szCs w:val="28"/>
              </w:rPr>
            </w:pPr>
            <w:r>
              <w:rPr>
                <w:rFonts w:hint="eastAsia" w:ascii="宋体" w:hAnsi="宋体"/>
                <w:kern w:val="0"/>
                <w:sz w:val="28"/>
                <w:szCs w:val="28"/>
              </w:rPr>
              <w:t xml:space="preserve">甲方（盖章）：山东济钢环保新材料有限公司  </w:t>
            </w:r>
          </w:p>
          <w:p w14:paraId="4C8D2735">
            <w:pPr>
              <w:widowControl/>
              <w:spacing w:line="360" w:lineRule="auto"/>
              <w:contextualSpacing/>
              <w:jc w:val="left"/>
              <w:rPr>
                <w:rFonts w:hint="eastAsia" w:ascii="宋体" w:hAnsi="宋体"/>
                <w:kern w:val="0"/>
                <w:sz w:val="28"/>
                <w:szCs w:val="28"/>
              </w:rPr>
            </w:pPr>
          </w:p>
        </w:tc>
        <w:tc>
          <w:tcPr>
            <w:tcW w:w="2378" w:type="pct"/>
            <w:tcBorders>
              <w:top w:val="nil"/>
              <w:left w:val="nil"/>
              <w:bottom w:val="nil"/>
              <w:right w:val="nil"/>
            </w:tcBorders>
            <w:noWrap w:val="0"/>
            <w:vAlign w:val="top"/>
          </w:tcPr>
          <w:p w14:paraId="7CCAD8B2">
            <w:pPr>
              <w:widowControl/>
              <w:spacing w:line="360" w:lineRule="auto"/>
              <w:ind w:firstLine="280" w:firstLineChars="100"/>
              <w:contextualSpacing/>
              <w:jc w:val="left"/>
              <w:rPr>
                <w:rFonts w:hint="eastAsia" w:ascii="宋体" w:hAnsi="宋体" w:eastAsia="宋体"/>
                <w:kern w:val="0"/>
                <w:sz w:val="28"/>
                <w:szCs w:val="28"/>
                <w:lang w:eastAsia="zh-CN"/>
              </w:rPr>
            </w:pPr>
            <w:r>
              <w:rPr>
                <w:rFonts w:hint="eastAsia" w:ascii="宋体" w:hAnsi="宋体"/>
                <w:kern w:val="0"/>
                <w:sz w:val="28"/>
                <w:szCs w:val="28"/>
              </w:rPr>
              <w:t>乙方（盖章）：</w:t>
            </w:r>
          </w:p>
        </w:tc>
      </w:tr>
    </w:tbl>
    <w:p w14:paraId="739E7C11"/>
    <w:p w14:paraId="3EDC8264">
      <w:pPr>
        <w:spacing w:line="560" w:lineRule="exact"/>
        <w:ind w:firstLine="480" w:firstLineChars="200"/>
        <w:rPr>
          <w:rFonts w:ascii="宋体" w:hAnsi="宋体" w:cs="宋体"/>
          <w:color w:val="000000"/>
          <w:kern w:val="0"/>
          <w:sz w:val="24"/>
          <w:szCs w:val="24"/>
        </w:rPr>
      </w:pPr>
      <w:r>
        <w:rPr>
          <w:rFonts w:ascii="宋体" w:hAnsi="宋体"/>
          <w:kern w:val="0"/>
          <w:sz w:val="24"/>
          <w:szCs w:val="24"/>
        </w:rPr>
        <w:t xml:space="preserve">      </w:t>
      </w:r>
    </w:p>
    <w:p w14:paraId="139FC465">
      <w:pPr>
        <w:spacing w:line="225" w:lineRule="auto"/>
        <w:rPr>
          <w:rFonts w:ascii="宋体" w:hAnsi="宋体" w:eastAsia="宋体" w:cs="宋体"/>
          <w:sz w:val="31"/>
          <w:szCs w:val="31"/>
        </w:rPr>
        <w:sectPr>
          <w:footerReference r:id="rId10" w:type="default"/>
          <w:pgSz w:w="11906" w:h="16839"/>
          <w:pgMar w:top="1431" w:right="1643" w:bottom="1156" w:left="1654" w:header="0" w:footer="994" w:gutter="0"/>
          <w:cols w:space="720" w:num="1"/>
        </w:sectPr>
      </w:pPr>
    </w:p>
    <w:p w14:paraId="573FE0EE">
      <w:pPr>
        <w:spacing w:before="90" w:line="225" w:lineRule="auto"/>
        <w:ind w:left="2554"/>
        <w:rPr>
          <w:rFonts w:ascii="黑体" w:hAnsi="黑体" w:eastAsia="黑体" w:cs="黑体"/>
          <w:sz w:val="43"/>
          <w:szCs w:val="43"/>
        </w:rPr>
      </w:pPr>
      <w:r>
        <w:rPr>
          <w:rFonts w:ascii="黑体" w:hAnsi="黑体" w:eastAsia="黑体" w:cs="黑体"/>
          <w:b/>
          <w:bCs/>
          <w:spacing w:val="4"/>
          <w:sz w:val="43"/>
          <w:szCs w:val="43"/>
        </w:rPr>
        <w:t>第五章</w:t>
      </w:r>
      <w:r>
        <w:rPr>
          <w:rFonts w:ascii="黑体" w:hAnsi="黑体" w:eastAsia="黑体" w:cs="黑体"/>
          <w:spacing w:val="4"/>
          <w:sz w:val="43"/>
          <w:szCs w:val="43"/>
        </w:rPr>
        <w:t xml:space="preserve">  </w:t>
      </w:r>
      <w:r>
        <w:rPr>
          <w:rFonts w:ascii="黑体" w:hAnsi="黑体" w:eastAsia="黑体" w:cs="黑体"/>
          <w:b/>
          <w:bCs/>
          <w:spacing w:val="4"/>
          <w:sz w:val="43"/>
          <w:szCs w:val="43"/>
        </w:rPr>
        <w:t>技术部分</w:t>
      </w:r>
    </w:p>
    <w:p w14:paraId="6361FF5F">
      <w:pPr>
        <w:spacing w:line="225" w:lineRule="auto"/>
        <w:rPr>
          <w:rFonts w:ascii="仿宋" w:hAnsi="仿宋" w:eastAsia="仿宋" w:cs="仿宋"/>
          <w:sz w:val="31"/>
          <w:szCs w:val="31"/>
        </w:rPr>
      </w:pPr>
    </w:p>
    <w:p w14:paraId="1D9C7CAF">
      <w:pPr>
        <w:spacing w:line="400" w:lineRule="auto"/>
        <w:ind w:firstLine="420" w:firstLineChars="150"/>
        <w:jc w:val="left"/>
        <w:rPr>
          <w:rFonts w:ascii="仿宋" w:hAnsi="仿宋" w:eastAsia="仿宋"/>
          <w:sz w:val="28"/>
          <w:szCs w:val="28"/>
        </w:rPr>
      </w:pPr>
      <w:r>
        <w:rPr>
          <w:rFonts w:ascii="仿宋" w:hAnsi="仿宋" w:eastAsia="仿宋"/>
          <w:sz w:val="28"/>
          <w:szCs w:val="28"/>
        </w:rPr>
        <w:t>a</w:t>
      </w:r>
      <w:r>
        <w:rPr>
          <w:rFonts w:hint="eastAsia" w:ascii="仿宋" w:hAnsi="仿宋" w:eastAsia="仿宋"/>
          <w:sz w:val="28"/>
          <w:szCs w:val="28"/>
        </w:rPr>
        <w:t>、基坑开挖，按照甲方要求开挖基坑。</w:t>
      </w:r>
    </w:p>
    <w:p w14:paraId="7769832B">
      <w:pPr>
        <w:spacing w:line="400" w:lineRule="auto"/>
        <w:ind w:firstLine="420" w:firstLineChars="150"/>
        <w:jc w:val="left"/>
        <w:rPr>
          <w:rFonts w:ascii="仿宋" w:hAnsi="仿宋" w:eastAsia="仿宋"/>
          <w:sz w:val="28"/>
          <w:szCs w:val="28"/>
        </w:rPr>
      </w:pPr>
      <w:r>
        <w:rPr>
          <w:rFonts w:hint="eastAsia" w:ascii="仿宋" w:hAnsi="仿宋" w:eastAsia="仿宋"/>
          <w:sz w:val="28"/>
          <w:szCs w:val="28"/>
        </w:rPr>
        <w:t>b、模板支护、预埋钢管立柱、加强斜撑及混凝土浇筑。</w:t>
      </w:r>
    </w:p>
    <w:p w14:paraId="5E86F0C4">
      <w:pPr>
        <w:spacing w:line="400" w:lineRule="auto"/>
        <w:ind w:firstLine="420" w:firstLineChars="150"/>
        <w:jc w:val="left"/>
        <w:rPr>
          <w:rFonts w:ascii="仿宋" w:hAnsi="仿宋" w:eastAsia="仿宋"/>
          <w:sz w:val="28"/>
          <w:szCs w:val="28"/>
        </w:rPr>
      </w:pPr>
      <w:r>
        <w:rPr>
          <w:rFonts w:hint="eastAsia" w:ascii="仿宋" w:hAnsi="仿宋" w:eastAsia="仿宋"/>
          <w:sz w:val="28"/>
          <w:szCs w:val="28"/>
        </w:rPr>
        <w:t>c、模板拆除、基坑回填。</w:t>
      </w:r>
    </w:p>
    <w:p w14:paraId="607B6126">
      <w:pPr>
        <w:spacing w:line="400" w:lineRule="auto"/>
        <w:ind w:firstLine="420" w:firstLineChars="150"/>
        <w:jc w:val="left"/>
        <w:rPr>
          <w:rFonts w:ascii="仿宋" w:hAnsi="仿宋" w:eastAsia="仿宋"/>
          <w:sz w:val="28"/>
          <w:szCs w:val="28"/>
        </w:rPr>
      </w:pPr>
      <w:r>
        <w:rPr>
          <w:rFonts w:hint="eastAsia" w:ascii="仿宋" w:hAnsi="仿宋" w:eastAsia="仿宋"/>
          <w:sz w:val="28"/>
          <w:szCs w:val="28"/>
        </w:rPr>
        <w:t>d、网片安装。</w:t>
      </w:r>
    </w:p>
    <w:tbl>
      <w:tblPr>
        <w:tblStyle w:val="11"/>
        <w:tblpPr w:leftFromText="180" w:rightFromText="180" w:vertAnchor="text" w:horzAnchor="page" w:tblpX="2386" w:tblpY="684"/>
        <w:tblOverlap w:val="never"/>
        <w:tblW w:w="79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1"/>
        <w:gridCol w:w="1476"/>
        <w:gridCol w:w="708"/>
        <w:gridCol w:w="5084"/>
      </w:tblGrid>
      <w:tr w14:paraId="1F280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14:paraId="4BAFA0E6">
            <w:pPr>
              <w:jc w:val="center"/>
              <w:rPr>
                <w:rFonts w:ascii="仿宋" w:hAnsi="仿宋" w:eastAsia="仿宋"/>
                <w:sz w:val="28"/>
                <w:szCs w:val="28"/>
              </w:rPr>
            </w:pPr>
            <w:r>
              <w:rPr>
                <w:rFonts w:hint="eastAsia" w:ascii="仿宋" w:hAnsi="仿宋" w:eastAsia="仿宋"/>
                <w:sz w:val="28"/>
                <w:szCs w:val="28"/>
              </w:rPr>
              <w:t>序号</w:t>
            </w:r>
          </w:p>
        </w:tc>
        <w:tc>
          <w:tcPr>
            <w:tcW w:w="1476" w:type="dxa"/>
            <w:vAlign w:val="center"/>
          </w:tcPr>
          <w:p w14:paraId="3351E0AB">
            <w:pPr>
              <w:jc w:val="center"/>
              <w:rPr>
                <w:rFonts w:ascii="仿宋" w:hAnsi="仿宋" w:eastAsia="仿宋"/>
                <w:sz w:val="28"/>
                <w:szCs w:val="28"/>
              </w:rPr>
            </w:pPr>
            <w:r>
              <w:rPr>
                <w:rFonts w:hint="eastAsia" w:ascii="仿宋" w:hAnsi="仿宋" w:eastAsia="仿宋"/>
                <w:sz w:val="28"/>
                <w:szCs w:val="28"/>
              </w:rPr>
              <w:t>分项内容</w:t>
            </w:r>
          </w:p>
        </w:tc>
        <w:tc>
          <w:tcPr>
            <w:tcW w:w="708" w:type="dxa"/>
            <w:vAlign w:val="center"/>
          </w:tcPr>
          <w:p w14:paraId="45B950F6">
            <w:pPr>
              <w:jc w:val="center"/>
              <w:rPr>
                <w:rFonts w:ascii="仿宋" w:hAnsi="仿宋" w:eastAsia="仿宋"/>
                <w:sz w:val="28"/>
                <w:szCs w:val="28"/>
              </w:rPr>
            </w:pPr>
            <w:r>
              <w:rPr>
                <w:rFonts w:hint="eastAsia" w:ascii="仿宋" w:hAnsi="仿宋" w:eastAsia="仿宋"/>
                <w:sz w:val="28"/>
                <w:szCs w:val="28"/>
              </w:rPr>
              <w:t>单 位</w:t>
            </w:r>
          </w:p>
        </w:tc>
        <w:tc>
          <w:tcPr>
            <w:tcW w:w="5084" w:type="dxa"/>
            <w:tcBorders>
              <w:left w:val="single" w:color="auto" w:sz="4" w:space="0"/>
            </w:tcBorders>
            <w:vAlign w:val="center"/>
          </w:tcPr>
          <w:p w14:paraId="2C5939BE">
            <w:pPr>
              <w:ind w:firstLine="140" w:firstLineChars="50"/>
              <w:jc w:val="center"/>
              <w:rPr>
                <w:rFonts w:ascii="仿宋" w:hAnsi="仿宋" w:eastAsia="仿宋"/>
                <w:sz w:val="28"/>
                <w:szCs w:val="28"/>
              </w:rPr>
            </w:pPr>
            <w:r>
              <w:rPr>
                <w:rFonts w:hint="eastAsia" w:ascii="仿宋" w:hAnsi="仿宋" w:eastAsia="仿宋"/>
                <w:color w:val="auto"/>
                <w:sz w:val="28"/>
                <w:szCs w:val="28"/>
                <w:lang w:val="en-US" w:eastAsia="zh-CN"/>
              </w:rPr>
              <w:t>质量</w:t>
            </w:r>
            <w:r>
              <w:rPr>
                <w:rFonts w:hint="eastAsia" w:ascii="仿宋" w:hAnsi="仿宋" w:eastAsia="仿宋"/>
                <w:color w:val="auto"/>
                <w:sz w:val="28"/>
                <w:szCs w:val="28"/>
              </w:rPr>
              <w:t>要求</w:t>
            </w:r>
          </w:p>
        </w:tc>
      </w:tr>
      <w:tr w14:paraId="25822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14:paraId="1902ABC3">
            <w:pPr>
              <w:jc w:val="center"/>
              <w:rPr>
                <w:rFonts w:ascii="仿宋" w:hAnsi="仿宋" w:eastAsia="仿宋"/>
                <w:sz w:val="28"/>
                <w:szCs w:val="28"/>
              </w:rPr>
            </w:pPr>
            <w:r>
              <w:rPr>
                <w:rFonts w:hint="eastAsia" w:ascii="仿宋" w:hAnsi="仿宋" w:eastAsia="仿宋"/>
                <w:sz w:val="28"/>
                <w:szCs w:val="28"/>
              </w:rPr>
              <w:t>1</w:t>
            </w:r>
          </w:p>
        </w:tc>
        <w:tc>
          <w:tcPr>
            <w:tcW w:w="1476" w:type="dxa"/>
            <w:vAlign w:val="center"/>
          </w:tcPr>
          <w:p w14:paraId="457BD7E2">
            <w:pPr>
              <w:jc w:val="center"/>
              <w:rPr>
                <w:rFonts w:ascii="仿宋" w:hAnsi="仿宋" w:eastAsia="仿宋"/>
                <w:sz w:val="28"/>
                <w:szCs w:val="28"/>
              </w:rPr>
            </w:pPr>
            <w:r>
              <w:rPr>
                <w:rFonts w:hint="eastAsia" w:ascii="仿宋" w:hAnsi="仿宋" w:eastAsia="仿宋"/>
                <w:sz w:val="28"/>
                <w:szCs w:val="28"/>
              </w:rPr>
              <w:t>网片</w:t>
            </w:r>
          </w:p>
        </w:tc>
        <w:tc>
          <w:tcPr>
            <w:tcW w:w="708" w:type="dxa"/>
            <w:vAlign w:val="center"/>
          </w:tcPr>
          <w:p w14:paraId="2E85BA33">
            <w:pPr>
              <w:jc w:val="center"/>
              <w:rPr>
                <w:rFonts w:ascii="仿宋" w:hAnsi="仿宋" w:eastAsia="仿宋"/>
                <w:sz w:val="28"/>
                <w:szCs w:val="28"/>
              </w:rPr>
            </w:pPr>
            <w:r>
              <w:rPr>
                <w:rFonts w:hint="eastAsia" w:ascii="仿宋" w:hAnsi="仿宋" w:eastAsia="仿宋"/>
                <w:sz w:val="28"/>
                <w:szCs w:val="28"/>
              </w:rPr>
              <w:t>片</w:t>
            </w:r>
          </w:p>
        </w:tc>
        <w:tc>
          <w:tcPr>
            <w:tcW w:w="5084" w:type="dxa"/>
            <w:tcBorders>
              <w:left w:val="single" w:color="auto" w:sz="4" w:space="0"/>
            </w:tcBorders>
            <w:vAlign w:val="center"/>
          </w:tcPr>
          <w:p w14:paraId="62A10F42">
            <w:pPr>
              <w:spacing w:line="360" w:lineRule="exact"/>
              <w:jc w:val="center"/>
              <w:rPr>
                <w:rFonts w:ascii="仿宋" w:hAnsi="仿宋" w:eastAsia="仿宋"/>
                <w:sz w:val="28"/>
                <w:szCs w:val="28"/>
              </w:rPr>
            </w:pPr>
            <w:r>
              <w:rPr>
                <w:rFonts w:hint="eastAsia" w:ascii="仿宋" w:hAnsi="仿宋" w:eastAsia="仿宋"/>
                <w:sz w:val="28"/>
                <w:szCs w:val="28"/>
              </w:rPr>
              <w:t>丝网</w:t>
            </w:r>
            <w:r>
              <w:rPr>
                <w:rFonts w:hint="eastAsia" w:ascii="仿宋" w:hAnsi="仿宋" w:eastAsia="仿宋" w:cs="Arial"/>
                <w:color w:val="000000"/>
                <w:sz w:val="28"/>
                <w:szCs w:val="28"/>
                <w:shd w:val="clear" w:color="auto" w:fill="FFFFFF"/>
              </w:rPr>
              <w:t>镀锌并</w:t>
            </w:r>
            <w:r>
              <w:rPr>
                <w:rFonts w:hint="eastAsia" w:ascii="仿宋" w:hAnsi="仿宋" w:eastAsia="仿宋"/>
                <w:sz w:val="28"/>
                <w:szCs w:val="28"/>
              </w:rPr>
              <w:t>浸塑；每片2920mm*1800mm；</w:t>
            </w:r>
            <w:r>
              <w:rPr>
                <w:rFonts w:ascii="仿宋" w:hAnsi="仿宋" w:eastAsia="仿宋"/>
                <w:sz w:val="28"/>
                <w:szCs w:val="28"/>
              </w:rPr>
              <w:t xml:space="preserve"> </w:t>
            </w:r>
          </w:p>
          <w:p w14:paraId="060D2DFC">
            <w:pPr>
              <w:spacing w:line="360" w:lineRule="exact"/>
              <w:jc w:val="center"/>
              <w:rPr>
                <w:rFonts w:ascii="仿宋" w:hAnsi="仿宋" w:eastAsia="仿宋"/>
                <w:color w:val="FF0000"/>
                <w:sz w:val="28"/>
                <w:szCs w:val="28"/>
              </w:rPr>
            </w:pPr>
            <w:r>
              <w:rPr>
                <w:rFonts w:hint="eastAsia" w:ascii="仿宋" w:hAnsi="仿宋" w:eastAsia="仿宋"/>
                <w:sz w:val="28"/>
                <w:szCs w:val="28"/>
              </w:rPr>
              <w:t>丝径4.0mm，网孔90mm*170mm</w:t>
            </w:r>
          </w:p>
        </w:tc>
      </w:tr>
      <w:tr w14:paraId="55FEA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14:paraId="4F39B1CC">
            <w:pPr>
              <w:jc w:val="center"/>
              <w:rPr>
                <w:rFonts w:ascii="仿宋" w:hAnsi="仿宋" w:eastAsia="仿宋"/>
                <w:sz w:val="28"/>
                <w:szCs w:val="28"/>
              </w:rPr>
            </w:pPr>
            <w:r>
              <w:rPr>
                <w:rFonts w:hint="eastAsia" w:ascii="仿宋" w:hAnsi="仿宋" w:eastAsia="仿宋"/>
                <w:sz w:val="28"/>
                <w:szCs w:val="28"/>
              </w:rPr>
              <w:t>2</w:t>
            </w:r>
          </w:p>
        </w:tc>
        <w:tc>
          <w:tcPr>
            <w:tcW w:w="1476" w:type="dxa"/>
            <w:vAlign w:val="center"/>
          </w:tcPr>
          <w:p w14:paraId="3674C168">
            <w:pPr>
              <w:jc w:val="center"/>
              <w:rPr>
                <w:rFonts w:ascii="仿宋" w:hAnsi="仿宋" w:eastAsia="仿宋"/>
                <w:sz w:val="28"/>
                <w:szCs w:val="28"/>
              </w:rPr>
            </w:pPr>
            <w:r>
              <w:rPr>
                <w:rFonts w:hint="eastAsia" w:ascii="仿宋" w:hAnsi="仿宋" w:eastAsia="仿宋"/>
                <w:sz w:val="28"/>
                <w:szCs w:val="28"/>
              </w:rPr>
              <w:t>预埋钢管</w:t>
            </w:r>
          </w:p>
          <w:p w14:paraId="1AA72E84">
            <w:pPr>
              <w:jc w:val="center"/>
              <w:rPr>
                <w:rFonts w:ascii="仿宋" w:hAnsi="仿宋" w:eastAsia="仿宋"/>
                <w:sz w:val="28"/>
                <w:szCs w:val="28"/>
              </w:rPr>
            </w:pPr>
            <w:r>
              <w:rPr>
                <w:rFonts w:hint="eastAsia" w:ascii="仿宋" w:hAnsi="仿宋" w:eastAsia="仿宋"/>
                <w:sz w:val="28"/>
                <w:szCs w:val="28"/>
              </w:rPr>
              <w:t>立柱</w:t>
            </w:r>
          </w:p>
        </w:tc>
        <w:tc>
          <w:tcPr>
            <w:tcW w:w="708" w:type="dxa"/>
            <w:vAlign w:val="center"/>
          </w:tcPr>
          <w:p w14:paraId="277CC928">
            <w:pPr>
              <w:jc w:val="center"/>
              <w:rPr>
                <w:rFonts w:ascii="仿宋" w:hAnsi="仿宋" w:eastAsia="仿宋"/>
                <w:sz w:val="28"/>
                <w:szCs w:val="28"/>
              </w:rPr>
            </w:pPr>
            <w:r>
              <w:rPr>
                <w:rFonts w:hint="eastAsia" w:ascii="仿宋" w:hAnsi="仿宋" w:eastAsia="仿宋"/>
                <w:sz w:val="28"/>
                <w:szCs w:val="28"/>
              </w:rPr>
              <w:t>根</w:t>
            </w:r>
          </w:p>
        </w:tc>
        <w:tc>
          <w:tcPr>
            <w:tcW w:w="5084" w:type="dxa"/>
            <w:tcBorders>
              <w:left w:val="single" w:color="auto" w:sz="4" w:space="0"/>
            </w:tcBorders>
            <w:vAlign w:val="center"/>
          </w:tcPr>
          <w:p w14:paraId="2B043A35">
            <w:pPr>
              <w:spacing w:line="360" w:lineRule="exact"/>
              <w:jc w:val="center"/>
              <w:rPr>
                <w:rFonts w:ascii="仿宋" w:hAnsi="仿宋" w:eastAsia="仿宋"/>
                <w:sz w:val="28"/>
                <w:szCs w:val="28"/>
              </w:rPr>
            </w:pPr>
            <w:r>
              <w:rPr>
                <w:rFonts w:hint="eastAsia" w:ascii="仿宋" w:hAnsi="仿宋" w:eastAsia="仿宋" w:cs="Arial"/>
                <w:color w:val="000000"/>
                <w:sz w:val="28"/>
                <w:szCs w:val="28"/>
                <w:shd w:val="clear" w:color="auto" w:fill="FFFFFF"/>
              </w:rPr>
              <w:t>Φ48mm*3mm圆管镀锌并浸塑，总长度：2.1m，埋深300mm，立柱间距：3m。</w:t>
            </w:r>
          </w:p>
        </w:tc>
      </w:tr>
      <w:tr w14:paraId="4831A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651" w:type="dxa"/>
            <w:vAlign w:val="center"/>
          </w:tcPr>
          <w:p w14:paraId="5D870B71">
            <w:pPr>
              <w:jc w:val="center"/>
              <w:rPr>
                <w:rFonts w:ascii="仿宋" w:hAnsi="仿宋" w:eastAsia="仿宋"/>
                <w:sz w:val="28"/>
                <w:szCs w:val="28"/>
              </w:rPr>
            </w:pPr>
            <w:r>
              <w:rPr>
                <w:rFonts w:hint="eastAsia" w:ascii="仿宋" w:hAnsi="仿宋" w:eastAsia="仿宋"/>
                <w:sz w:val="28"/>
                <w:szCs w:val="28"/>
              </w:rPr>
              <w:t>3</w:t>
            </w:r>
          </w:p>
        </w:tc>
        <w:tc>
          <w:tcPr>
            <w:tcW w:w="1476" w:type="dxa"/>
            <w:vAlign w:val="center"/>
          </w:tcPr>
          <w:p w14:paraId="0EDC8A1E">
            <w:pPr>
              <w:jc w:val="center"/>
              <w:rPr>
                <w:rFonts w:ascii="仿宋" w:hAnsi="仿宋" w:eastAsia="仿宋"/>
                <w:sz w:val="28"/>
                <w:szCs w:val="28"/>
              </w:rPr>
            </w:pPr>
            <w:r>
              <w:rPr>
                <w:rFonts w:hint="eastAsia" w:ascii="仿宋" w:hAnsi="仿宋" w:eastAsia="仿宋"/>
                <w:sz w:val="28"/>
                <w:szCs w:val="28"/>
              </w:rPr>
              <w:t>砼基础</w:t>
            </w:r>
          </w:p>
        </w:tc>
        <w:tc>
          <w:tcPr>
            <w:tcW w:w="708" w:type="dxa"/>
            <w:vAlign w:val="center"/>
          </w:tcPr>
          <w:p w14:paraId="615E712C">
            <w:pPr>
              <w:jc w:val="center"/>
              <w:rPr>
                <w:rFonts w:ascii="仿宋" w:hAnsi="仿宋" w:eastAsia="仿宋"/>
                <w:sz w:val="28"/>
                <w:szCs w:val="28"/>
              </w:rPr>
            </w:pPr>
            <w:r>
              <w:rPr>
                <w:rFonts w:hint="eastAsia" w:ascii="仿宋" w:hAnsi="仿宋" w:eastAsia="仿宋"/>
                <w:sz w:val="28"/>
                <w:szCs w:val="28"/>
              </w:rPr>
              <w:t>组</w:t>
            </w:r>
          </w:p>
        </w:tc>
        <w:tc>
          <w:tcPr>
            <w:tcW w:w="5084" w:type="dxa"/>
            <w:tcBorders>
              <w:left w:val="single" w:color="auto" w:sz="4" w:space="0"/>
            </w:tcBorders>
            <w:vAlign w:val="center"/>
          </w:tcPr>
          <w:p w14:paraId="57E9C650">
            <w:pPr>
              <w:spacing w:line="360" w:lineRule="exact"/>
              <w:jc w:val="center"/>
              <w:rPr>
                <w:rFonts w:ascii="仿宋" w:hAnsi="仿宋" w:eastAsia="仿宋"/>
                <w:sz w:val="28"/>
                <w:szCs w:val="28"/>
              </w:rPr>
            </w:pPr>
            <w:r>
              <w:rPr>
                <w:rFonts w:hint="eastAsia" w:ascii="仿宋" w:hAnsi="仿宋" w:eastAsia="仿宋"/>
                <w:sz w:val="28"/>
                <w:szCs w:val="28"/>
              </w:rPr>
              <w:t>挖运土石方，支模板，浇筑C25砼基础，基础400mm*400mm*500mm。</w:t>
            </w:r>
          </w:p>
        </w:tc>
      </w:tr>
    </w:tbl>
    <w:p w14:paraId="4B21423B">
      <w:pPr>
        <w:spacing w:line="225" w:lineRule="auto"/>
        <w:rPr>
          <w:rFonts w:ascii="仿宋" w:hAnsi="仿宋" w:eastAsia="仿宋" w:cs="仿宋"/>
          <w:sz w:val="31"/>
          <w:szCs w:val="31"/>
        </w:rPr>
        <w:sectPr>
          <w:footerReference r:id="rId11" w:type="default"/>
          <w:pgSz w:w="11906" w:h="16839"/>
          <w:pgMar w:top="1421" w:right="1532" w:bottom="1156" w:left="1650" w:header="0" w:footer="994" w:gutter="0"/>
          <w:cols w:space="720" w:num="1"/>
        </w:sectPr>
      </w:pPr>
    </w:p>
    <w:p w14:paraId="60DE578D">
      <w:pPr>
        <w:pStyle w:val="7"/>
        <w:spacing w:line="393" w:lineRule="auto"/>
      </w:pPr>
    </w:p>
    <w:p w14:paraId="4C76A17B">
      <w:pPr>
        <w:spacing w:before="113" w:line="227" w:lineRule="auto"/>
        <w:ind w:left="1942"/>
        <w:outlineLvl w:val="0"/>
        <w:rPr>
          <w:rFonts w:ascii="黑体" w:hAnsi="黑体" w:eastAsia="黑体" w:cs="黑体"/>
          <w:sz w:val="35"/>
          <w:szCs w:val="35"/>
        </w:rPr>
      </w:pPr>
      <w:r>
        <w:rPr>
          <w:rFonts w:ascii="黑体" w:hAnsi="黑体" w:eastAsia="黑体" w:cs="黑体"/>
          <w:b/>
          <w:bCs/>
          <w:spacing w:val="6"/>
          <w:sz w:val="35"/>
          <w:szCs w:val="35"/>
        </w:rPr>
        <w:t>第六章</w:t>
      </w:r>
      <w:r>
        <w:rPr>
          <w:rFonts w:ascii="黑体" w:hAnsi="黑体" w:eastAsia="黑体" w:cs="黑体"/>
          <w:spacing w:val="6"/>
          <w:sz w:val="35"/>
          <w:szCs w:val="35"/>
        </w:rPr>
        <w:t xml:space="preserve"> </w:t>
      </w:r>
      <w:r>
        <w:rPr>
          <w:rFonts w:ascii="黑体" w:hAnsi="黑体" w:eastAsia="黑体" w:cs="黑体"/>
          <w:b/>
          <w:bCs/>
          <w:spacing w:val="6"/>
          <w:sz w:val="35"/>
          <w:szCs w:val="35"/>
        </w:rPr>
        <w:t>响应文件格式及内容</w:t>
      </w:r>
    </w:p>
    <w:p w14:paraId="5C62599B">
      <w:pPr>
        <w:spacing w:before="226"/>
      </w:pPr>
    </w:p>
    <w:tbl>
      <w:tblPr>
        <w:tblStyle w:val="13"/>
        <w:tblW w:w="1895" w:type="dxa"/>
        <w:tblInd w:w="659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895"/>
      </w:tblGrid>
      <w:tr w14:paraId="5DA1892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80" w:hRule="atLeast"/>
        </w:trPr>
        <w:tc>
          <w:tcPr>
            <w:tcW w:w="1895" w:type="dxa"/>
            <w:vAlign w:val="top"/>
          </w:tcPr>
          <w:p w14:paraId="3F9F0B3C">
            <w:pPr>
              <w:spacing w:before="69" w:line="215" w:lineRule="auto"/>
              <w:ind w:left="29"/>
              <w:rPr>
                <w:rFonts w:ascii="黑体" w:hAnsi="黑体" w:eastAsia="黑体" w:cs="黑体"/>
                <w:sz w:val="43"/>
                <w:szCs w:val="43"/>
              </w:rPr>
            </w:pPr>
            <w:r>
              <w:rPr>
                <w:rFonts w:ascii="黑体" w:hAnsi="黑体" w:eastAsia="黑体" w:cs="黑体"/>
                <w:spacing w:val="3"/>
                <w:sz w:val="43"/>
                <w:szCs w:val="43"/>
              </w:rPr>
              <w:t>正本</w:t>
            </w:r>
            <w:r>
              <w:rPr>
                <w:rFonts w:ascii="Times New Roman" w:hAnsi="Times New Roman" w:eastAsia="Times New Roman" w:cs="Times New Roman"/>
                <w:spacing w:val="3"/>
                <w:sz w:val="43"/>
                <w:szCs w:val="43"/>
              </w:rPr>
              <w:t>/</w:t>
            </w:r>
            <w:r>
              <w:rPr>
                <w:rFonts w:ascii="黑体" w:hAnsi="黑体" w:eastAsia="黑体" w:cs="黑体"/>
                <w:spacing w:val="3"/>
                <w:sz w:val="43"/>
                <w:szCs w:val="43"/>
              </w:rPr>
              <w:t>副本</w:t>
            </w:r>
          </w:p>
        </w:tc>
      </w:tr>
    </w:tbl>
    <w:p w14:paraId="55808E10">
      <w:pPr>
        <w:pStyle w:val="7"/>
        <w:spacing w:line="422" w:lineRule="auto"/>
      </w:pPr>
    </w:p>
    <w:p w14:paraId="2A974985">
      <w:pPr>
        <w:tabs>
          <w:tab w:val="left" w:pos="5086"/>
        </w:tabs>
        <w:spacing w:before="114" w:line="227" w:lineRule="auto"/>
        <w:ind w:left="1126"/>
        <w:rPr>
          <w:rFonts w:ascii="黑体" w:hAnsi="黑体" w:eastAsia="黑体" w:cs="黑体"/>
          <w:sz w:val="35"/>
          <w:szCs w:val="35"/>
        </w:rPr>
      </w:pPr>
      <w:r>
        <w:rPr>
          <w:rFonts w:ascii="黑体" w:hAnsi="黑体" w:eastAsia="黑体" w:cs="黑体"/>
          <w:sz w:val="35"/>
          <w:szCs w:val="35"/>
          <w:u w:val="single" w:color="auto"/>
        </w:rPr>
        <w:tab/>
      </w:r>
      <w:r>
        <w:rPr>
          <w:rFonts w:ascii="黑体" w:hAnsi="黑体" w:eastAsia="黑体" w:cs="黑体"/>
          <w:spacing w:val="8"/>
          <w:sz w:val="35"/>
          <w:szCs w:val="35"/>
        </w:rPr>
        <w:t>（项目名称）</w:t>
      </w:r>
    </w:p>
    <w:p w14:paraId="71BBE86D">
      <w:pPr>
        <w:pStyle w:val="7"/>
      </w:pPr>
    </w:p>
    <w:p w14:paraId="20A265DE">
      <w:pPr>
        <w:pStyle w:val="7"/>
      </w:pPr>
    </w:p>
    <w:p w14:paraId="7C8D3452">
      <w:pPr>
        <w:pStyle w:val="7"/>
      </w:pPr>
    </w:p>
    <w:p w14:paraId="3DAE32EB">
      <w:pPr>
        <w:pStyle w:val="7"/>
      </w:pPr>
    </w:p>
    <w:p w14:paraId="68C3B223">
      <w:pPr>
        <w:pStyle w:val="7"/>
      </w:pPr>
    </w:p>
    <w:p w14:paraId="09444C69">
      <w:pPr>
        <w:pStyle w:val="7"/>
        <w:spacing w:line="241" w:lineRule="auto"/>
      </w:pPr>
    </w:p>
    <w:p w14:paraId="748ADA69">
      <w:pPr>
        <w:pStyle w:val="7"/>
        <w:spacing w:line="241" w:lineRule="auto"/>
      </w:pPr>
    </w:p>
    <w:p w14:paraId="5299D5E9">
      <w:pPr>
        <w:pStyle w:val="7"/>
        <w:spacing w:line="241" w:lineRule="auto"/>
      </w:pPr>
    </w:p>
    <w:p w14:paraId="7F688F1C">
      <w:pPr>
        <w:pStyle w:val="7"/>
        <w:spacing w:line="241" w:lineRule="auto"/>
      </w:pPr>
    </w:p>
    <w:p w14:paraId="317E3F44">
      <w:pPr>
        <w:pStyle w:val="7"/>
        <w:spacing w:line="241" w:lineRule="auto"/>
      </w:pPr>
    </w:p>
    <w:p w14:paraId="2D74A80E">
      <w:pPr>
        <w:spacing w:before="113" w:line="227" w:lineRule="auto"/>
        <w:ind w:left="3494"/>
        <w:rPr>
          <w:rFonts w:ascii="黑体" w:hAnsi="黑体" w:eastAsia="黑体" w:cs="黑体"/>
          <w:sz w:val="35"/>
          <w:szCs w:val="35"/>
        </w:rPr>
      </w:pPr>
      <w:r>
        <w:rPr>
          <w:rFonts w:ascii="黑体" w:hAnsi="黑体" w:eastAsia="黑体" w:cs="黑体"/>
          <w:spacing w:val="2"/>
          <w:sz w:val="35"/>
          <w:szCs w:val="35"/>
        </w:rPr>
        <w:t>响应文件</w:t>
      </w:r>
    </w:p>
    <w:p w14:paraId="082589C8">
      <w:pPr>
        <w:pStyle w:val="7"/>
        <w:spacing w:line="249" w:lineRule="auto"/>
      </w:pPr>
    </w:p>
    <w:p w14:paraId="56FDE8BC">
      <w:pPr>
        <w:pStyle w:val="7"/>
        <w:spacing w:line="249" w:lineRule="auto"/>
      </w:pPr>
    </w:p>
    <w:p w14:paraId="43339B00">
      <w:pPr>
        <w:pStyle w:val="7"/>
        <w:spacing w:line="249" w:lineRule="auto"/>
      </w:pPr>
    </w:p>
    <w:p w14:paraId="2FF0498D">
      <w:pPr>
        <w:pStyle w:val="7"/>
        <w:spacing w:line="249" w:lineRule="auto"/>
      </w:pPr>
    </w:p>
    <w:p w14:paraId="60FDDD8A">
      <w:pPr>
        <w:pStyle w:val="7"/>
        <w:spacing w:line="249" w:lineRule="auto"/>
      </w:pPr>
    </w:p>
    <w:p w14:paraId="6C4D4875">
      <w:pPr>
        <w:pStyle w:val="7"/>
        <w:spacing w:line="249" w:lineRule="auto"/>
      </w:pPr>
    </w:p>
    <w:p w14:paraId="7E41AF2B">
      <w:pPr>
        <w:pStyle w:val="7"/>
        <w:spacing w:line="249" w:lineRule="auto"/>
      </w:pPr>
    </w:p>
    <w:p w14:paraId="02609A8C">
      <w:pPr>
        <w:pStyle w:val="7"/>
        <w:spacing w:line="249" w:lineRule="auto"/>
      </w:pPr>
    </w:p>
    <w:p w14:paraId="5F0C9A18">
      <w:pPr>
        <w:pStyle w:val="7"/>
        <w:spacing w:line="250" w:lineRule="auto"/>
      </w:pPr>
    </w:p>
    <w:p w14:paraId="7AF4CDC3">
      <w:pPr>
        <w:pStyle w:val="7"/>
        <w:spacing w:line="250" w:lineRule="auto"/>
      </w:pPr>
    </w:p>
    <w:p w14:paraId="2564CDFD">
      <w:pPr>
        <w:pStyle w:val="7"/>
        <w:spacing w:line="250" w:lineRule="auto"/>
      </w:pPr>
    </w:p>
    <w:p w14:paraId="383E2E9F">
      <w:pPr>
        <w:pStyle w:val="7"/>
        <w:spacing w:line="250" w:lineRule="auto"/>
      </w:pPr>
    </w:p>
    <w:p w14:paraId="0379C02C">
      <w:pPr>
        <w:pStyle w:val="7"/>
        <w:spacing w:line="250" w:lineRule="auto"/>
      </w:pPr>
    </w:p>
    <w:p w14:paraId="03776771">
      <w:pPr>
        <w:spacing w:before="91" w:line="397" w:lineRule="auto"/>
        <w:ind w:firstLine="27"/>
        <w:rPr>
          <w:rFonts w:ascii="黑体" w:hAnsi="黑体" w:eastAsia="黑体" w:cs="黑体"/>
          <w:sz w:val="28"/>
          <w:szCs w:val="28"/>
        </w:rPr>
      </w:pPr>
      <w:r>
        <w:rPr>
          <w:rFonts w:ascii="黑体" w:hAnsi="黑体" w:eastAsia="黑体" w:cs="黑体"/>
          <w:spacing w:val="-1"/>
          <w:sz w:val="28"/>
          <w:szCs w:val="28"/>
        </w:rPr>
        <w:t>承揽方</w:t>
      </w:r>
      <w:r>
        <w:rPr>
          <w:rFonts w:ascii="黑体" w:hAnsi="黑体" w:eastAsia="黑体" w:cs="黑体"/>
          <w:spacing w:val="-15"/>
          <w:sz w:val="28"/>
          <w:szCs w:val="28"/>
        </w:rPr>
        <w:t>：</w:t>
      </w:r>
      <w:r>
        <w:rPr>
          <w:rFonts w:ascii="黑体" w:hAnsi="黑体" w:eastAsia="黑体" w:cs="黑体"/>
          <w:sz w:val="28"/>
          <w:szCs w:val="28"/>
          <w:u w:val="single" w:color="auto"/>
        </w:rPr>
        <w:t xml:space="preserve">                                       </w:t>
      </w:r>
      <w:r>
        <w:rPr>
          <w:rFonts w:ascii="黑体" w:hAnsi="黑体" w:eastAsia="黑体" w:cs="黑体"/>
          <w:spacing w:val="-15"/>
          <w:sz w:val="28"/>
          <w:szCs w:val="28"/>
        </w:rPr>
        <w:t>（</w:t>
      </w:r>
      <w:r>
        <w:rPr>
          <w:rFonts w:ascii="黑体" w:hAnsi="黑体" w:eastAsia="黑体" w:cs="黑体"/>
          <w:spacing w:val="-1"/>
          <w:sz w:val="28"/>
          <w:szCs w:val="28"/>
        </w:rPr>
        <w:t>盖单位公章）</w:t>
      </w:r>
      <w:r>
        <w:rPr>
          <w:rFonts w:ascii="黑体" w:hAnsi="黑体" w:eastAsia="黑体" w:cs="黑体"/>
          <w:sz w:val="28"/>
          <w:szCs w:val="28"/>
        </w:rPr>
        <w:t xml:space="preserve"> 法定代表人或其委托代理人</w:t>
      </w:r>
      <w:r>
        <w:rPr>
          <w:rFonts w:ascii="黑体" w:hAnsi="黑体" w:eastAsia="黑体" w:cs="黑体"/>
          <w:spacing w:val="-7"/>
          <w:sz w:val="28"/>
          <w:szCs w:val="28"/>
        </w:rPr>
        <w:t>：</w:t>
      </w:r>
      <w:r>
        <w:rPr>
          <w:rFonts w:ascii="黑体" w:hAnsi="黑体" w:eastAsia="黑体" w:cs="黑体"/>
          <w:sz w:val="28"/>
          <w:szCs w:val="28"/>
          <w:u w:val="single" w:color="auto"/>
        </w:rPr>
        <w:t xml:space="preserve">                    </w:t>
      </w:r>
      <w:r>
        <w:rPr>
          <w:rFonts w:ascii="黑体" w:hAnsi="黑体" w:eastAsia="黑体" w:cs="黑体"/>
          <w:spacing w:val="-7"/>
          <w:sz w:val="28"/>
          <w:szCs w:val="28"/>
        </w:rPr>
        <w:t>（</w:t>
      </w:r>
      <w:r>
        <w:rPr>
          <w:rFonts w:ascii="黑体" w:hAnsi="黑体" w:eastAsia="黑体" w:cs="黑体"/>
          <w:sz w:val="28"/>
          <w:szCs w:val="28"/>
        </w:rPr>
        <w:t>签字或盖章）</w:t>
      </w:r>
    </w:p>
    <w:p w14:paraId="5A02D29E">
      <w:pPr>
        <w:pStyle w:val="7"/>
        <w:spacing w:line="286" w:lineRule="auto"/>
      </w:pPr>
    </w:p>
    <w:p w14:paraId="6A95AD02">
      <w:pPr>
        <w:pStyle w:val="7"/>
        <w:spacing w:line="286" w:lineRule="auto"/>
      </w:pPr>
    </w:p>
    <w:p w14:paraId="06E3301C">
      <w:pPr>
        <w:tabs>
          <w:tab w:val="left" w:pos="3417"/>
        </w:tabs>
        <w:spacing w:before="92" w:line="224" w:lineRule="auto"/>
        <w:ind w:left="2578"/>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pacing w:val="-124"/>
          <w:sz w:val="28"/>
          <w:szCs w:val="28"/>
        </w:rPr>
        <w:t xml:space="preserve"> </w:t>
      </w:r>
      <w:r>
        <w:rPr>
          <w:rFonts w:ascii="黑体" w:hAnsi="黑体" w:eastAsia="黑体" w:cs="黑体"/>
          <w:spacing w:val="-6"/>
          <w:sz w:val="28"/>
          <w:szCs w:val="28"/>
        </w:rPr>
        <w:t xml:space="preserve">年 </w:t>
      </w:r>
      <w:r>
        <w:rPr>
          <w:rFonts w:ascii="黑体" w:hAnsi="黑体" w:eastAsia="黑体" w:cs="黑体"/>
          <w:sz w:val="28"/>
          <w:szCs w:val="28"/>
          <w:u w:val="single" w:color="auto"/>
        </w:rPr>
        <w:t xml:space="preserve">   </w:t>
      </w:r>
      <w:r>
        <w:rPr>
          <w:rFonts w:ascii="黑体" w:hAnsi="黑体" w:eastAsia="黑体" w:cs="黑体"/>
          <w:spacing w:val="17"/>
          <w:sz w:val="28"/>
          <w:szCs w:val="28"/>
        </w:rPr>
        <w:t xml:space="preserve"> </w:t>
      </w:r>
      <w:r>
        <w:rPr>
          <w:rFonts w:ascii="黑体" w:hAnsi="黑体" w:eastAsia="黑体" w:cs="黑体"/>
          <w:spacing w:val="-6"/>
          <w:sz w:val="28"/>
          <w:szCs w:val="28"/>
        </w:rPr>
        <w:t xml:space="preserve">月  </w:t>
      </w:r>
      <w:r>
        <w:rPr>
          <w:rFonts w:ascii="黑体" w:hAnsi="黑体" w:eastAsia="黑体" w:cs="黑体"/>
          <w:sz w:val="28"/>
          <w:szCs w:val="28"/>
          <w:u w:val="single" w:color="auto"/>
        </w:rPr>
        <w:t xml:space="preserve">    </w:t>
      </w:r>
      <w:r>
        <w:rPr>
          <w:rFonts w:ascii="黑体" w:hAnsi="黑体" w:eastAsia="黑体" w:cs="黑体"/>
          <w:spacing w:val="-83"/>
          <w:sz w:val="28"/>
          <w:szCs w:val="28"/>
        </w:rPr>
        <w:t xml:space="preserve"> </w:t>
      </w:r>
      <w:r>
        <w:rPr>
          <w:rFonts w:ascii="黑体" w:hAnsi="黑体" w:eastAsia="黑体" w:cs="黑体"/>
          <w:spacing w:val="-6"/>
          <w:sz w:val="28"/>
          <w:szCs w:val="28"/>
        </w:rPr>
        <w:t>日</w:t>
      </w:r>
    </w:p>
    <w:p w14:paraId="4E9E7499">
      <w:pPr>
        <w:spacing w:line="224" w:lineRule="auto"/>
        <w:rPr>
          <w:rFonts w:ascii="黑体" w:hAnsi="黑体" w:eastAsia="黑体" w:cs="黑体"/>
          <w:sz w:val="28"/>
          <w:szCs w:val="28"/>
        </w:rPr>
        <w:sectPr>
          <w:footerReference r:id="rId12" w:type="default"/>
          <w:pgSz w:w="11906" w:h="16839"/>
          <w:pgMar w:top="1431" w:right="1610" w:bottom="1156" w:left="1765" w:header="0" w:footer="994" w:gutter="0"/>
          <w:cols w:space="720" w:num="1"/>
        </w:sectPr>
      </w:pPr>
    </w:p>
    <w:p w14:paraId="4AE6A755">
      <w:pPr>
        <w:spacing w:before="162" w:line="227" w:lineRule="auto"/>
        <w:ind w:left="3577"/>
        <w:outlineLvl w:val="1"/>
        <w:rPr>
          <w:rFonts w:ascii="黑体" w:hAnsi="黑体" w:eastAsia="黑体" w:cs="黑体"/>
          <w:sz w:val="31"/>
          <w:szCs w:val="31"/>
        </w:rPr>
      </w:pPr>
      <w:r>
        <w:rPr>
          <w:rFonts w:ascii="黑体" w:hAnsi="黑体" w:eastAsia="黑体" w:cs="黑体"/>
          <w:b/>
          <w:bCs/>
          <w:spacing w:val="-25"/>
          <w:sz w:val="31"/>
          <w:szCs w:val="31"/>
        </w:rPr>
        <w:t>目</w:t>
      </w:r>
      <w:r>
        <w:rPr>
          <w:rFonts w:ascii="黑体" w:hAnsi="黑体" w:eastAsia="黑体" w:cs="黑体"/>
          <w:spacing w:val="8"/>
          <w:sz w:val="31"/>
          <w:szCs w:val="31"/>
        </w:rPr>
        <w:t xml:space="preserve">    </w:t>
      </w:r>
      <w:r>
        <w:rPr>
          <w:rFonts w:ascii="黑体" w:hAnsi="黑体" w:eastAsia="黑体" w:cs="黑体"/>
          <w:b/>
          <w:bCs/>
          <w:spacing w:val="-25"/>
          <w:sz w:val="31"/>
          <w:szCs w:val="31"/>
        </w:rPr>
        <w:t>录</w:t>
      </w:r>
    </w:p>
    <w:p w14:paraId="6C6B90A9">
      <w:pPr>
        <w:pStyle w:val="7"/>
        <w:spacing w:line="256" w:lineRule="auto"/>
      </w:pPr>
    </w:p>
    <w:p w14:paraId="2A1041EC">
      <w:pPr>
        <w:pStyle w:val="7"/>
        <w:spacing w:line="256" w:lineRule="auto"/>
      </w:pPr>
    </w:p>
    <w:p w14:paraId="001B56F8">
      <w:pPr>
        <w:spacing w:before="78" w:line="218" w:lineRule="auto"/>
        <w:ind w:left="521"/>
        <w:rPr>
          <w:rFonts w:ascii="宋体" w:hAnsi="宋体" w:eastAsia="宋体" w:cs="宋体"/>
          <w:sz w:val="24"/>
          <w:szCs w:val="24"/>
        </w:rPr>
      </w:pPr>
      <w:r>
        <w:rPr>
          <w:rFonts w:ascii="宋体" w:hAnsi="宋体" w:eastAsia="宋体" w:cs="宋体"/>
          <w:spacing w:val="-6"/>
          <w:sz w:val="24"/>
          <w:szCs w:val="24"/>
        </w:rPr>
        <w:t>1、报价函</w:t>
      </w:r>
    </w:p>
    <w:p w14:paraId="1AAA0E74">
      <w:pPr>
        <w:spacing w:before="105" w:line="219" w:lineRule="auto"/>
        <w:ind w:left="506"/>
        <w:rPr>
          <w:rFonts w:ascii="宋体" w:hAnsi="宋体" w:eastAsia="宋体" w:cs="宋体"/>
          <w:sz w:val="24"/>
          <w:szCs w:val="24"/>
        </w:rPr>
      </w:pPr>
      <w:r>
        <w:rPr>
          <w:rFonts w:ascii="宋体" w:hAnsi="宋体" w:eastAsia="宋体" w:cs="宋体"/>
          <w:spacing w:val="-2"/>
          <w:sz w:val="24"/>
          <w:szCs w:val="24"/>
        </w:rPr>
        <w:t>2、法定代表人身份证明</w:t>
      </w:r>
    </w:p>
    <w:p w14:paraId="291881FF">
      <w:pPr>
        <w:spacing w:before="226" w:line="219" w:lineRule="auto"/>
        <w:ind w:left="508"/>
        <w:rPr>
          <w:rFonts w:ascii="宋体" w:hAnsi="宋体" w:eastAsia="宋体" w:cs="宋体"/>
          <w:sz w:val="24"/>
          <w:szCs w:val="24"/>
        </w:rPr>
      </w:pPr>
      <w:r>
        <w:rPr>
          <w:rFonts w:ascii="宋体" w:hAnsi="宋体" w:eastAsia="宋体" w:cs="宋体"/>
          <w:spacing w:val="-3"/>
          <w:sz w:val="24"/>
          <w:szCs w:val="24"/>
        </w:rPr>
        <w:t>3、授权委托书</w:t>
      </w:r>
    </w:p>
    <w:p w14:paraId="3F33C9E9">
      <w:pPr>
        <w:spacing w:before="184" w:line="219" w:lineRule="auto"/>
        <w:ind w:left="502"/>
        <w:rPr>
          <w:rFonts w:ascii="宋体" w:hAnsi="宋体" w:eastAsia="宋体" w:cs="宋体"/>
          <w:sz w:val="24"/>
          <w:szCs w:val="24"/>
        </w:rPr>
      </w:pPr>
      <w:r>
        <w:rPr>
          <w:rFonts w:ascii="宋体" w:hAnsi="宋体" w:eastAsia="宋体" w:cs="宋体"/>
          <w:spacing w:val="-2"/>
          <w:sz w:val="24"/>
          <w:szCs w:val="24"/>
        </w:rPr>
        <w:t>4、资格审查资料</w:t>
      </w:r>
    </w:p>
    <w:p w14:paraId="2AE3DCA1">
      <w:pPr>
        <w:spacing w:before="183" w:line="218" w:lineRule="auto"/>
        <w:ind w:left="508"/>
        <w:rPr>
          <w:rFonts w:ascii="宋体" w:hAnsi="宋体" w:eastAsia="宋体" w:cs="宋体"/>
          <w:sz w:val="24"/>
          <w:szCs w:val="24"/>
        </w:rPr>
      </w:pPr>
      <w:r>
        <w:rPr>
          <w:rFonts w:ascii="宋体" w:hAnsi="宋体" w:eastAsia="宋体" w:cs="宋体"/>
          <w:spacing w:val="-3"/>
          <w:sz w:val="24"/>
          <w:szCs w:val="24"/>
        </w:rPr>
        <w:t>5、报价表</w:t>
      </w:r>
    </w:p>
    <w:p w14:paraId="4790CFE1">
      <w:pPr>
        <w:spacing w:before="184" w:line="219" w:lineRule="auto"/>
        <w:ind w:left="505"/>
        <w:rPr>
          <w:rFonts w:ascii="宋体" w:hAnsi="宋体" w:eastAsia="宋体" w:cs="宋体"/>
          <w:sz w:val="24"/>
          <w:szCs w:val="24"/>
        </w:rPr>
      </w:pPr>
      <w:r>
        <w:rPr>
          <w:rFonts w:ascii="宋体" w:hAnsi="宋体" w:eastAsia="宋体" w:cs="宋体"/>
          <w:spacing w:val="-1"/>
          <w:sz w:val="24"/>
          <w:szCs w:val="24"/>
        </w:rPr>
        <w:t>6、拟投入项目的主要设备及人员</w:t>
      </w:r>
    </w:p>
    <w:p w14:paraId="385A9406">
      <w:pPr>
        <w:spacing w:before="184" w:line="219" w:lineRule="auto"/>
        <w:ind w:left="509"/>
        <w:rPr>
          <w:rFonts w:ascii="宋体" w:hAnsi="宋体" w:eastAsia="宋体" w:cs="宋体"/>
          <w:sz w:val="24"/>
          <w:szCs w:val="24"/>
        </w:rPr>
      </w:pPr>
      <w:r>
        <w:rPr>
          <w:rFonts w:ascii="宋体" w:hAnsi="宋体" w:eastAsia="宋体" w:cs="宋体"/>
          <w:spacing w:val="-2"/>
          <w:sz w:val="24"/>
          <w:szCs w:val="24"/>
        </w:rPr>
        <w:t>7、商务或技术偏差表</w:t>
      </w:r>
    </w:p>
    <w:p w14:paraId="1E56FC45">
      <w:pPr>
        <w:spacing w:before="183" w:line="219" w:lineRule="auto"/>
        <w:ind w:left="504"/>
        <w:rPr>
          <w:rFonts w:ascii="宋体" w:hAnsi="宋体" w:eastAsia="宋体" w:cs="宋体"/>
          <w:sz w:val="24"/>
          <w:szCs w:val="24"/>
        </w:rPr>
      </w:pPr>
      <w:r>
        <w:rPr>
          <w:rFonts w:ascii="宋体" w:hAnsi="宋体" w:eastAsia="宋体" w:cs="宋体"/>
          <w:spacing w:val="-1"/>
          <w:sz w:val="24"/>
          <w:szCs w:val="24"/>
        </w:rPr>
        <w:t>8、承揽方认为应补充的其它资料</w:t>
      </w:r>
    </w:p>
    <w:p w14:paraId="0D0FDF65">
      <w:pPr>
        <w:spacing w:line="219" w:lineRule="auto"/>
        <w:rPr>
          <w:rFonts w:ascii="宋体" w:hAnsi="宋体" w:eastAsia="宋体" w:cs="宋体"/>
          <w:sz w:val="24"/>
          <w:szCs w:val="24"/>
        </w:rPr>
        <w:sectPr>
          <w:footerReference r:id="rId13" w:type="default"/>
          <w:pgSz w:w="11906" w:h="16839"/>
          <w:pgMar w:top="1431" w:right="1785" w:bottom="1156" w:left="1785" w:header="0" w:footer="994" w:gutter="0"/>
          <w:cols w:space="720" w:num="1"/>
        </w:sectPr>
      </w:pPr>
    </w:p>
    <w:p w14:paraId="1AB4658F">
      <w:pPr>
        <w:pStyle w:val="7"/>
        <w:spacing w:line="316" w:lineRule="auto"/>
      </w:pPr>
    </w:p>
    <w:p w14:paraId="52147EF2">
      <w:pPr>
        <w:spacing w:before="78" w:line="218" w:lineRule="auto"/>
        <w:ind w:left="42"/>
        <w:outlineLvl w:val="2"/>
        <w:rPr>
          <w:rFonts w:ascii="宋体" w:hAnsi="宋体" w:eastAsia="宋体" w:cs="宋体"/>
          <w:sz w:val="24"/>
          <w:szCs w:val="24"/>
        </w:rPr>
      </w:pPr>
      <w:r>
        <w:rPr>
          <w:rFonts w:ascii="Times New Roman" w:hAnsi="Times New Roman" w:eastAsia="Times New Roman" w:cs="Times New Roman"/>
          <w:spacing w:val="-11"/>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11"/>
          <w:sz w:val="24"/>
          <w:szCs w:val="24"/>
        </w:rPr>
        <w:t>、报价函</w:t>
      </w:r>
    </w:p>
    <w:p w14:paraId="62D28633">
      <w:pPr>
        <w:tabs>
          <w:tab w:val="left" w:pos="2893"/>
        </w:tabs>
        <w:spacing w:before="107" w:line="219" w:lineRule="auto"/>
        <w:ind w:left="1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p>
    <w:p w14:paraId="69AA47D7">
      <w:pPr>
        <w:spacing w:before="105" w:line="259" w:lineRule="auto"/>
        <w:ind w:left="50" w:firstLine="471"/>
        <w:rPr>
          <w:rFonts w:ascii="宋体" w:hAnsi="宋体" w:eastAsia="宋体" w:cs="宋体"/>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14"/>
          <w:sz w:val="24"/>
          <w:szCs w:val="24"/>
        </w:rPr>
        <w:t xml:space="preserve"> </w:t>
      </w:r>
      <w:r>
        <w:rPr>
          <w:rFonts w:ascii="宋体" w:hAnsi="宋体" w:eastAsia="宋体" w:cs="宋体"/>
          <w:spacing w:val="-2"/>
          <w:sz w:val="24"/>
          <w:szCs w:val="24"/>
        </w:rPr>
        <w:t>．我方已仔细研究了</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（项目名称）谈判文件的全部内容，愿意</w:t>
      </w:r>
      <w:r>
        <w:rPr>
          <w:rFonts w:ascii="宋体" w:hAnsi="宋体" w:eastAsia="宋体" w:cs="宋体"/>
          <w:sz w:val="24"/>
          <w:szCs w:val="24"/>
        </w:rPr>
        <w:t xml:space="preserve">  </w:t>
      </w:r>
      <w:r>
        <w:rPr>
          <w:rFonts w:ascii="宋体" w:hAnsi="宋体" w:eastAsia="宋体" w:cs="宋体"/>
          <w:spacing w:val="-3"/>
          <w:sz w:val="24"/>
          <w:szCs w:val="24"/>
        </w:rPr>
        <w:t>以</w:t>
      </w:r>
      <w:r>
        <w:rPr>
          <w:rFonts w:hint="eastAsia" w:ascii="宋体" w:hAnsi="宋体" w:eastAsia="宋体" w:cs="宋体"/>
          <w:color w:val="auto"/>
          <w:spacing w:val="-3"/>
          <w:sz w:val="24"/>
          <w:szCs w:val="24"/>
          <w:lang w:val="en-US" w:eastAsia="zh-CN"/>
        </w:rPr>
        <w:t>单价</w:t>
      </w:r>
      <w:r>
        <w:rPr>
          <w:rFonts w:ascii="Times New Roman" w:hAnsi="Times New Roman" w:eastAsia="Times New Roman" w:cs="Times New Roman"/>
          <w:color w:val="auto"/>
          <w:spacing w:val="-3"/>
          <w:sz w:val="24"/>
          <w:szCs w:val="24"/>
        </w:rPr>
        <w:t>¥</w:t>
      </w:r>
      <w:r>
        <w:rPr>
          <w:rFonts w:ascii="Times New Roman" w:hAnsi="Times New Roman" w:eastAsia="Times New Roman" w:cs="Times New Roman"/>
          <w:color w:val="auto"/>
          <w:spacing w:val="-3"/>
          <w:sz w:val="24"/>
          <w:szCs w:val="24"/>
          <w:u w:val="single" w:color="auto"/>
        </w:rPr>
        <w:t xml:space="preserve">                  </w:t>
      </w:r>
      <w:r>
        <w:rPr>
          <w:rFonts w:hint="eastAsia" w:ascii="Times New Roman" w:hAnsi="Times New Roman" w:eastAsia="宋体" w:cs="Times New Roman"/>
          <w:color w:val="auto"/>
          <w:spacing w:val="-3"/>
          <w:sz w:val="24"/>
          <w:szCs w:val="24"/>
          <w:u w:val="none" w:color="auto"/>
          <w:lang w:val="en-US" w:eastAsia="zh-CN"/>
        </w:rPr>
        <w:t>元/m；总价</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
          <w:sz w:val="24"/>
          <w:szCs w:val="24"/>
          <w:u w:val="single" w:color="auto"/>
        </w:rPr>
        <w:t xml:space="preserve">                  </w:t>
      </w:r>
      <w:r>
        <w:rPr>
          <w:rFonts w:hint="eastAsia" w:ascii="Times New Roman" w:hAnsi="Times New Roman" w:eastAsia="宋体" w:cs="Times New Roman"/>
          <w:spacing w:val="-3"/>
          <w:sz w:val="24"/>
          <w:szCs w:val="24"/>
          <w:u w:val="none" w:color="auto"/>
          <w:lang w:val="en-US" w:eastAsia="zh-CN"/>
        </w:rPr>
        <w:t xml:space="preserve">元  </w:t>
      </w:r>
      <w:r>
        <w:rPr>
          <w:rFonts w:ascii="宋体" w:hAnsi="宋体" w:eastAsia="宋体" w:cs="宋体"/>
          <w:spacing w:val="-3"/>
          <w:sz w:val="24"/>
          <w:szCs w:val="24"/>
        </w:rPr>
        <w:t>（人民币大写</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）的报价，</w:t>
      </w:r>
      <w:r>
        <w:rPr>
          <w:rFonts w:hint="eastAsia" w:ascii="宋体" w:hAnsi="宋体" w:eastAsia="宋体" w:cs="宋体"/>
          <w:spacing w:val="-3"/>
          <w:sz w:val="24"/>
          <w:szCs w:val="24"/>
          <w:lang w:val="en-US" w:eastAsia="zh-CN"/>
        </w:rPr>
        <w:t>税率为</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u w:val="none"/>
          <w:lang w:val="en-US" w:eastAsia="zh-CN"/>
        </w:rPr>
        <w:t>，</w:t>
      </w:r>
      <w:r>
        <w:rPr>
          <w:rFonts w:ascii="宋体" w:hAnsi="宋体" w:eastAsia="宋体" w:cs="宋体"/>
          <w:spacing w:val="-3"/>
          <w:sz w:val="24"/>
          <w:szCs w:val="24"/>
        </w:rPr>
        <w:t>按合同约定履</w:t>
      </w:r>
      <w:r>
        <w:rPr>
          <w:rFonts w:ascii="宋体" w:hAnsi="宋体" w:eastAsia="宋体" w:cs="宋体"/>
          <w:spacing w:val="-4"/>
          <w:sz w:val="24"/>
          <w:szCs w:val="24"/>
        </w:rPr>
        <w:t>行所有义务。</w:t>
      </w:r>
    </w:p>
    <w:p w14:paraId="5C96DE4E">
      <w:pPr>
        <w:spacing w:before="105" w:line="219" w:lineRule="auto"/>
        <w:ind w:left="499"/>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29"/>
          <w:sz w:val="24"/>
          <w:szCs w:val="24"/>
        </w:rPr>
        <w:t xml:space="preserve"> </w:t>
      </w:r>
      <w:r>
        <w:rPr>
          <w:rFonts w:ascii="宋体" w:hAnsi="宋体" w:eastAsia="宋体" w:cs="宋体"/>
          <w:spacing w:val="-1"/>
          <w:sz w:val="24"/>
          <w:szCs w:val="24"/>
        </w:rPr>
        <w:t>．我方承诺在谈判文件规定的谈判有效期内不修改、</w:t>
      </w:r>
      <w:r>
        <w:rPr>
          <w:rFonts w:ascii="宋体" w:hAnsi="宋体" w:eastAsia="宋体" w:cs="宋体"/>
          <w:spacing w:val="-2"/>
          <w:sz w:val="24"/>
          <w:szCs w:val="24"/>
        </w:rPr>
        <w:t>撤销响应文件。</w:t>
      </w:r>
    </w:p>
    <w:p w14:paraId="7CB97159">
      <w:pPr>
        <w:spacing w:before="106" w:line="220" w:lineRule="auto"/>
        <w:ind w:left="503"/>
        <w:rPr>
          <w:rFonts w:ascii="宋体" w:hAnsi="宋体" w:eastAsia="宋体" w:cs="宋体"/>
          <w:sz w:val="24"/>
          <w:szCs w:val="24"/>
        </w:rPr>
      </w:pPr>
      <w:r>
        <w:rPr>
          <w:rFonts w:ascii="Times New Roman" w:hAnsi="Times New Roman" w:eastAsia="Times New Roman" w:cs="Times New Roman"/>
          <w:spacing w:val="-6"/>
          <w:sz w:val="24"/>
          <w:szCs w:val="24"/>
        </w:rPr>
        <w:t>3</w:t>
      </w:r>
      <w:r>
        <w:rPr>
          <w:rFonts w:ascii="Times New Roman" w:hAnsi="Times New Roman" w:eastAsia="Times New Roman" w:cs="Times New Roman"/>
          <w:spacing w:val="-23"/>
          <w:sz w:val="24"/>
          <w:szCs w:val="24"/>
        </w:rPr>
        <w:t xml:space="preserve"> </w:t>
      </w:r>
      <w:r>
        <w:rPr>
          <w:rFonts w:ascii="宋体" w:hAnsi="宋体" w:eastAsia="宋体" w:cs="宋体"/>
          <w:spacing w:val="-6"/>
          <w:sz w:val="24"/>
          <w:szCs w:val="24"/>
        </w:rPr>
        <w:t>．如我方成交：</w:t>
      </w:r>
    </w:p>
    <w:p w14:paraId="36E040A1">
      <w:pPr>
        <w:spacing w:before="103" w:line="261" w:lineRule="auto"/>
        <w:ind w:left="23" w:right="80" w:firstLine="83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）我方承诺在收到成交通知书后，在成交通知书规定的期限内与你方</w:t>
      </w:r>
      <w:r>
        <w:rPr>
          <w:rFonts w:ascii="宋体" w:hAnsi="宋体" w:eastAsia="宋体" w:cs="宋体"/>
          <w:sz w:val="24"/>
          <w:szCs w:val="24"/>
        </w:rPr>
        <w:t xml:space="preserve"> </w:t>
      </w:r>
      <w:r>
        <w:rPr>
          <w:rFonts w:ascii="宋体" w:hAnsi="宋体" w:eastAsia="宋体" w:cs="宋体"/>
          <w:spacing w:val="-2"/>
          <w:sz w:val="24"/>
          <w:szCs w:val="24"/>
        </w:rPr>
        <w:t>签订合同。</w:t>
      </w:r>
    </w:p>
    <w:p w14:paraId="6FF5BA7C">
      <w:pPr>
        <w:spacing w:before="101" w:line="218" w:lineRule="auto"/>
        <w:ind w:left="85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）随同本报价函递交的报价函附录属于合同文件的组成部分。</w:t>
      </w:r>
    </w:p>
    <w:p w14:paraId="6E31506C">
      <w:pPr>
        <w:spacing w:before="108" w:line="219" w:lineRule="auto"/>
        <w:ind w:left="85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）我方承诺按照谈判文件规定向你方递交履约担保。</w:t>
      </w:r>
    </w:p>
    <w:p w14:paraId="73890C4A">
      <w:pPr>
        <w:spacing w:before="104" w:line="219" w:lineRule="auto"/>
        <w:ind w:left="85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）我方承诺在合同约定的期限交付货物。</w:t>
      </w:r>
    </w:p>
    <w:p w14:paraId="7F8E06E5">
      <w:pPr>
        <w:spacing w:before="107" w:line="219" w:lineRule="auto"/>
        <w:ind w:left="497"/>
        <w:rPr>
          <w:rFonts w:ascii="宋体" w:hAnsi="宋体" w:eastAsia="宋体" w:cs="宋体"/>
          <w:sz w:val="24"/>
          <w:szCs w:val="24"/>
        </w:rPr>
      </w:pPr>
      <w:r>
        <w:rPr>
          <w:rFonts w:ascii="Times New Roman" w:hAnsi="Times New Roman" w:eastAsia="Times New Roman" w:cs="Times New Roman"/>
          <w:spacing w:val="-1"/>
          <w:sz w:val="24"/>
          <w:szCs w:val="24"/>
        </w:rPr>
        <w:t>4</w:t>
      </w:r>
      <w:r>
        <w:rPr>
          <w:rFonts w:ascii="Times New Roman" w:hAnsi="Times New Roman" w:eastAsia="Times New Roman" w:cs="Times New Roman"/>
          <w:spacing w:val="-28"/>
          <w:sz w:val="24"/>
          <w:szCs w:val="24"/>
        </w:rPr>
        <w:t xml:space="preserve"> </w:t>
      </w:r>
      <w:r>
        <w:rPr>
          <w:rFonts w:ascii="宋体" w:hAnsi="宋体" w:eastAsia="宋体" w:cs="宋体"/>
          <w:spacing w:val="-1"/>
          <w:sz w:val="24"/>
          <w:szCs w:val="24"/>
        </w:rPr>
        <w:t>．我方在此声明，所递交的响应文件及有关资料内容完整、真实</w:t>
      </w:r>
      <w:r>
        <w:rPr>
          <w:rFonts w:ascii="宋体" w:hAnsi="宋体" w:eastAsia="宋体" w:cs="宋体"/>
          <w:spacing w:val="-2"/>
          <w:sz w:val="24"/>
          <w:szCs w:val="24"/>
        </w:rPr>
        <w:t>和准确。</w:t>
      </w:r>
    </w:p>
    <w:p w14:paraId="5E1481CC">
      <w:pPr>
        <w:spacing w:before="104" w:line="273" w:lineRule="auto"/>
        <w:ind w:left="25" w:right="80" w:firstLine="480"/>
        <w:rPr>
          <w:rFonts w:ascii="宋体" w:hAnsi="宋体" w:eastAsia="宋体" w:cs="宋体"/>
          <w:sz w:val="24"/>
          <w:szCs w:val="24"/>
        </w:rPr>
      </w:pPr>
      <w:r>
        <w:rPr>
          <w:rFonts w:ascii="Times New Roman" w:hAnsi="Times New Roman" w:eastAsia="Times New Roman" w:cs="Times New Roman"/>
          <w:spacing w:val="-1"/>
          <w:sz w:val="24"/>
          <w:szCs w:val="24"/>
        </w:rPr>
        <w:t>5.</w:t>
      </w:r>
      <w:r>
        <w:rPr>
          <w:rFonts w:ascii="Times New Roman" w:hAnsi="Times New Roman" w:eastAsia="Times New Roman" w:cs="Times New Roman"/>
          <w:spacing w:val="19"/>
          <w:w w:val="101"/>
          <w:sz w:val="24"/>
          <w:szCs w:val="24"/>
        </w:rPr>
        <w:t xml:space="preserve">  </w:t>
      </w:r>
      <w:r>
        <w:rPr>
          <w:rFonts w:ascii="宋体" w:hAnsi="宋体" w:eastAsia="宋体" w:cs="宋体"/>
          <w:spacing w:val="-1"/>
          <w:sz w:val="24"/>
          <w:szCs w:val="24"/>
        </w:rPr>
        <w:t>我方承诺参加谈判活动近三年内无违法犯罪及其它不良行为记录，如有</w:t>
      </w:r>
      <w:r>
        <w:rPr>
          <w:rFonts w:ascii="宋体" w:hAnsi="宋体" w:eastAsia="宋体" w:cs="宋体"/>
          <w:sz w:val="24"/>
          <w:szCs w:val="24"/>
        </w:rPr>
        <w:t xml:space="preserve"> </w:t>
      </w:r>
      <w:r>
        <w:rPr>
          <w:rFonts w:ascii="宋体" w:hAnsi="宋体" w:eastAsia="宋体" w:cs="宋体"/>
          <w:spacing w:val="-3"/>
          <w:sz w:val="24"/>
          <w:szCs w:val="24"/>
        </w:rPr>
        <w:t>经行政主管部门查实或通报的不良记录，我方放弃参加本次项目谈判的权利，并</w:t>
      </w:r>
      <w:r>
        <w:rPr>
          <w:rFonts w:ascii="宋体" w:hAnsi="宋体" w:eastAsia="宋体" w:cs="宋体"/>
          <w:sz w:val="24"/>
          <w:szCs w:val="24"/>
        </w:rPr>
        <w:t xml:space="preserve"> </w:t>
      </w:r>
      <w:r>
        <w:rPr>
          <w:rFonts w:ascii="宋体" w:hAnsi="宋体" w:eastAsia="宋体" w:cs="宋体"/>
          <w:spacing w:val="-1"/>
          <w:sz w:val="24"/>
          <w:szCs w:val="24"/>
        </w:rPr>
        <w:t>无条件承担相应后果和损失。</w:t>
      </w:r>
    </w:p>
    <w:p w14:paraId="50E34D5E">
      <w:pPr>
        <w:spacing w:before="106" w:line="259" w:lineRule="auto"/>
        <w:ind w:left="23" w:right="746" w:firstLine="480"/>
        <w:rPr>
          <w:rFonts w:ascii="宋体" w:hAnsi="宋体" w:eastAsia="宋体" w:cs="宋体"/>
          <w:sz w:val="24"/>
          <w:szCs w:val="24"/>
        </w:rPr>
      </w:pPr>
      <w:r>
        <w:rPr>
          <w:rFonts w:ascii="Times New Roman" w:hAnsi="Times New Roman" w:eastAsia="Times New Roman" w:cs="Times New Roman"/>
          <w:spacing w:val="-2"/>
          <w:sz w:val="24"/>
          <w:szCs w:val="24"/>
        </w:rPr>
        <w:t>6</w:t>
      </w:r>
      <w:r>
        <w:rPr>
          <w:rFonts w:ascii="Times New Roman" w:hAnsi="Times New Roman" w:eastAsia="Times New Roman" w:cs="Times New Roman"/>
          <w:spacing w:val="-28"/>
          <w:sz w:val="24"/>
          <w:szCs w:val="24"/>
        </w:rPr>
        <w:t xml:space="preserve"> </w:t>
      </w:r>
      <w:r>
        <w:rPr>
          <w:rFonts w:ascii="宋体" w:hAnsi="宋体" w:eastAsia="宋体" w:cs="宋体"/>
          <w:spacing w:val="-33"/>
          <w:sz w:val="24"/>
          <w:szCs w:val="24"/>
        </w:rPr>
        <w:t>．</w:t>
      </w:r>
      <w:r>
        <w:rPr>
          <w:rFonts w:ascii="宋体" w:hAnsi="宋体" w:eastAsia="宋体" w:cs="宋体"/>
          <w:sz w:val="24"/>
          <w:szCs w:val="24"/>
          <w:u w:val="single" w:color="auto"/>
        </w:rPr>
        <w:t xml:space="preserve">                                       </w:t>
      </w:r>
      <w:r>
        <w:rPr>
          <w:rFonts w:ascii="宋体" w:hAnsi="宋体" w:eastAsia="宋体" w:cs="宋体"/>
          <w:spacing w:val="-33"/>
          <w:sz w:val="24"/>
          <w:szCs w:val="24"/>
        </w:rPr>
        <w:t>（</w:t>
      </w:r>
      <w:r>
        <w:rPr>
          <w:rFonts w:ascii="宋体" w:hAnsi="宋体" w:eastAsia="宋体" w:cs="宋体"/>
          <w:spacing w:val="-2"/>
          <w:sz w:val="24"/>
          <w:szCs w:val="24"/>
        </w:rPr>
        <w:t>其他补充说明）。</w:t>
      </w:r>
      <w:r>
        <w:rPr>
          <w:rFonts w:ascii="宋体" w:hAnsi="宋体" w:eastAsia="宋体" w:cs="宋体"/>
          <w:sz w:val="24"/>
          <w:szCs w:val="24"/>
        </w:rPr>
        <w:t xml:space="preserve"> </w:t>
      </w: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盖单位章）</w:t>
      </w:r>
    </w:p>
    <w:p w14:paraId="6FC4BB94">
      <w:pPr>
        <w:spacing w:before="106" w:line="286" w:lineRule="auto"/>
        <w:ind w:left="22" w:right="2887" w:firstLine="1"/>
        <w:rPr>
          <w:rFonts w:ascii="宋体" w:hAnsi="宋体" w:eastAsia="宋体" w:cs="宋体"/>
          <w:sz w:val="24"/>
          <w:szCs w:val="24"/>
        </w:rPr>
      </w:pPr>
      <w:r>
        <w:rPr>
          <w:rFonts w:ascii="宋体" w:hAnsi="宋体" w:eastAsia="宋体" w:cs="宋体"/>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签字并盖章）</w:t>
      </w:r>
      <w:r>
        <w:rPr>
          <w:rFonts w:ascii="宋体" w:hAnsi="宋体" w:eastAsia="宋体" w:cs="宋体"/>
          <w:spacing w:val="1"/>
          <w:sz w:val="24"/>
          <w:szCs w:val="24"/>
        </w:rPr>
        <w:t xml:space="preserve"> </w:t>
      </w: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2F6A6245">
      <w:pPr>
        <w:tabs>
          <w:tab w:val="left" w:pos="5174"/>
        </w:tabs>
        <w:spacing w:before="35" w:line="295" w:lineRule="auto"/>
        <w:ind w:left="21" w:right="3226" w:firstLine="1"/>
        <w:jc w:val="both"/>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网址：</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电话：</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传真：</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邮政编码：</w:t>
      </w:r>
      <w:r>
        <w:rPr>
          <w:rFonts w:ascii="宋体" w:hAnsi="宋体" w:eastAsia="宋体" w:cs="宋体"/>
          <w:sz w:val="24"/>
          <w:szCs w:val="24"/>
          <w:u w:val="single" w:color="auto"/>
        </w:rPr>
        <w:t xml:space="preserve">                                 </w:t>
      </w:r>
    </w:p>
    <w:p w14:paraId="14FF175C">
      <w:pPr>
        <w:pStyle w:val="7"/>
        <w:spacing w:line="344" w:lineRule="auto"/>
      </w:pPr>
    </w:p>
    <w:p w14:paraId="7C9746E0">
      <w:pPr>
        <w:tabs>
          <w:tab w:val="left" w:pos="6760"/>
        </w:tabs>
        <w:spacing w:before="79" w:line="219" w:lineRule="auto"/>
        <w:ind w:left="6280"/>
        <w:outlineLvl w:val="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39"/>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9"/>
          <w:sz w:val="24"/>
          <w:szCs w:val="24"/>
        </w:rPr>
        <w:t>月</w:t>
      </w:r>
      <w:r>
        <w:rPr>
          <w:rFonts w:ascii="宋体" w:hAnsi="宋体" w:eastAsia="宋体" w:cs="宋体"/>
          <w:spacing w:val="6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6D868CF6">
      <w:pPr>
        <w:spacing w:line="219" w:lineRule="auto"/>
        <w:rPr>
          <w:rFonts w:ascii="宋体" w:hAnsi="宋体" w:eastAsia="宋体" w:cs="宋体"/>
          <w:sz w:val="24"/>
          <w:szCs w:val="24"/>
        </w:rPr>
        <w:sectPr>
          <w:footerReference r:id="rId14" w:type="default"/>
          <w:pgSz w:w="11906" w:h="16839"/>
          <w:pgMar w:top="1431" w:right="1719" w:bottom="1156" w:left="1785" w:header="0" w:footer="994" w:gutter="0"/>
          <w:cols w:space="720" w:num="1"/>
        </w:sectPr>
      </w:pPr>
    </w:p>
    <w:p w14:paraId="5D91FD23">
      <w:pPr>
        <w:pStyle w:val="7"/>
        <w:spacing w:line="450" w:lineRule="auto"/>
      </w:pPr>
    </w:p>
    <w:p w14:paraId="43FDD860">
      <w:pPr>
        <w:spacing w:before="78" w:line="219" w:lineRule="auto"/>
        <w:ind w:left="26"/>
        <w:rPr>
          <w:rFonts w:ascii="宋体" w:hAnsi="宋体" w:eastAsia="宋体" w:cs="宋体"/>
          <w:sz w:val="24"/>
          <w:szCs w:val="24"/>
        </w:rPr>
      </w:pPr>
      <w:r>
        <w:rPr>
          <w:rFonts w:ascii="宋体" w:hAnsi="宋体" w:eastAsia="宋体" w:cs="宋体"/>
          <w:spacing w:val="-2"/>
          <w:sz w:val="24"/>
          <w:szCs w:val="24"/>
        </w:rPr>
        <w:t>2、法定代表人身份证明</w:t>
      </w:r>
    </w:p>
    <w:p w14:paraId="5A6AB5CF">
      <w:pPr>
        <w:spacing w:before="299" w:line="218" w:lineRule="auto"/>
        <w:ind w:left="873"/>
        <w:outlineLvl w:val="1"/>
        <w:rPr>
          <w:rFonts w:ascii="Times New Roman" w:hAnsi="Times New Roman" w:eastAsia="Times New Roman" w:cs="Times New Roman"/>
          <w:sz w:val="31"/>
          <w:szCs w:val="31"/>
        </w:rPr>
      </w:pPr>
      <w:r>
        <w:rPr>
          <w:rFonts w:ascii="黑体" w:hAnsi="黑体" w:eastAsia="黑体" w:cs="黑体"/>
          <w:spacing w:val="8"/>
          <w:sz w:val="31"/>
          <w:szCs w:val="31"/>
        </w:rPr>
        <w:t>法定代表人身份证明</w:t>
      </w:r>
      <w:r>
        <w:rPr>
          <w:rFonts w:ascii="Times New Roman" w:hAnsi="Times New Roman" w:eastAsia="Times New Roman" w:cs="Times New Roman"/>
          <w:spacing w:val="8"/>
          <w:sz w:val="31"/>
          <w:szCs w:val="31"/>
        </w:rPr>
        <w:t>(</w:t>
      </w:r>
      <w:r>
        <w:rPr>
          <w:rFonts w:ascii="黑体" w:hAnsi="黑体" w:eastAsia="黑体" w:cs="黑体"/>
          <w:spacing w:val="8"/>
          <w:sz w:val="31"/>
          <w:szCs w:val="31"/>
        </w:rPr>
        <w:t>适用于法定代表人</w:t>
      </w:r>
      <w:r>
        <w:rPr>
          <w:rFonts w:hint="eastAsia" w:ascii="黑体" w:hAnsi="黑体" w:eastAsia="黑体" w:cs="黑体"/>
          <w:spacing w:val="8"/>
          <w:sz w:val="31"/>
          <w:szCs w:val="31"/>
          <w:lang w:val="en-US" w:eastAsia="zh-CN"/>
        </w:rPr>
        <w:t>报名</w:t>
      </w:r>
      <w:r>
        <w:rPr>
          <w:rFonts w:ascii="黑体" w:hAnsi="黑体" w:eastAsia="黑体" w:cs="黑体"/>
          <w:spacing w:val="8"/>
          <w:sz w:val="31"/>
          <w:szCs w:val="31"/>
        </w:rPr>
        <w:t>时</w:t>
      </w:r>
      <w:r>
        <w:rPr>
          <w:rFonts w:ascii="Times New Roman" w:hAnsi="Times New Roman" w:eastAsia="Times New Roman" w:cs="Times New Roman"/>
          <w:spacing w:val="8"/>
          <w:sz w:val="31"/>
          <w:szCs w:val="31"/>
        </w:rPr>
        <w:t>)</w:t>
      </w:r>
    </w:p>
    <w:p w14:paraId="76EEA901">
      <w:pPr>
        <w:pStyle w:val="7"/>
        <w:spacing w:line="272" w:lineRule="auto"/>
      </w:pPr>
    </w:p>
    <w:p w14:paraId="366162A5">
      <w:pPr>
        <w:pStyle w:val="7"/>
        <w:spacing w:line="272" w:lineRule="auto"/>
      </w:pPr>
    </w:p>
    <w:p w14:paraId="693D7891">
      <w:pPr>
        <w:spacing w:before="78" w:line="220" w:lineRule="auto"/>
        <w:ind w:left="26"/>
        <w:rPr>
          <w:rFonts w:ascii="宋体" w:hAnsi="宋体" w:eastAsia="宋体" w:cs="宋体"/>
          <w:sz w:val="24"/>
          <w:szCs w:val="24"/>
        </w:rPr>
      </w:pPr>
      <w:r>
        <w:rPr>
          <w:rFonts w:hint="eastAsia" w:ascii="宋体" w:hAnsi="宋体" w:eastAsia="宋体" w:cs="宋体"/>
          <w:spacing w:val="-3"/>
          <w:sz w:val="24"/>
          <w:szCs w:val="24"/>
          <w:lang w:val="en-US" w:eastAsia="zh-CN"/>
        </w:rPr>
        <w:t>供应商</w:t>
      </w:r>
      <w:r>
        <w:rPr>
          <w:rFonts w:ascii="宋体" w:hAnsi="宋体" w:eastAsia="宋体" w:cs="宋体"/>
          <w:spacing w:val="-3"/>
          <w:sz w:val="24"/>
          <w:szCs w:val="24"/>
        </w:rPr>
        <w:t>名称：</w:t>
      </w:r>
      <w:r>
        <w:rPr>
          <w:rFonts w:ascii="宋体" w:hAnsi="宋体" w:eastAsia="宋体" w:cs="宋体"/>
          <w:sz w:val="24"/>
          <w:szCs w:val="24"/>
          <w:u w:val="single" w:color="auto"/>
        </w:rPr>
        <w:t xml:space="preserve">                   </w:t>
      </w:r>
    </w:p>
    <w:p w14:paraId="275FE055">
      <w:pPr>
        <w:spacing w:before="199" w:line="227" w:lineRule="auto"/>
        <w:ind w:left="23"/>
        <w:rPr>
          <w:rFonts w:ascii="宋体" w:hAnsi="宋体" w:eastAsia="宋体" w:cs="宋体"/>
          <w:sz w:val="24"/>
          <w:szCs w:val="24"/>
        </w:rPr>
      </w:pPr>
      <w:r>
        <w:rPr>
          <w:rFonts w:ascii="宋体" w:hAnsi="宋体" w:eastAsia="宋体" w:cs="宋体"/>
          <w:spacing w:val="-2"/>
          <w:sz w:val="24"/>
          <w:szCs w:val="24"/>
        </w:rPr>
        <w:t>姓名</w:t>
      </w:r>
      <w:r>
        <w:rPr>
          <w:rFonts w:ascii="仿宋" w:hAnsi="仿宋" w:eastAsia="仿宋" w:cs="仿宋"/>
          <w:spacing w:val="-2"/>
          <w:sz w:val="28"/>
          <w:szCs w:val="28"/>
        </w:rPr>
        <w:t>：</w:t>
      </w:r>
      <w:r>
        <w:rPr>
          <w:rFonts w:ascii="仿宋" w:hAnsi="仿宋" w:eastAsia="仿宋" w:cs="仿宋"/>
          <w:spacing w:val="-2"/>
          <w:sz w:val="28"/>
          <w:szCs w:val="28"/>
          <w:u w:val="single" w:color="auto"/>
        </w:rPr>
        <w:t xml:space="preserve">          </w:t>
      </w:r>
      <w:r>
        <w:rPr>
          <w:rFonts w:ascii="仿宋" w:hAnsi="仿宋" w:eastAsia="仿宋" w:cs="仿宋"/>
          <w:spacing w:val="12"/>
          <w:sz w:val="28"/>
          <w:szCs w:val="28"/>
        </w:rPr>
        <w:t xml:space="preserve"> </w:t>
      </w:r>
      <w:r>
        <w:rPr>
          <w:rFonts w:ascii="宋体" w:hAnsi="宋体" w:eastAsia="宋体" w:cs="宋体"/>
          <w:spacing w:val="-2"/>
          <w:sz w:val="24"/>
          <w:szCs w:val="24"/>
        </w:rPr>
        <w:t>性别：</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年龄</w:t>
      </w:r>
      <w:r>
        <w:rPr>
          <w:rFonts w:ascii="仿宋" w:hAnsi="仿宋" w:eastAsia="仿宋" w:cs="仿宋"/>
          <w:spacing w:val="-2"/>
          <w:sz w:val="28"/>
          <w:szCs w:val="28"/>
        </w:rPr>
        <w:t>：</w:t>
      </w:r>
      <w:r>
        <w:rPr>
          <w:rFonts w:ascii="仿宋" w:hAnsi="仿宋" w:eastAsia="仿宋" w:cs="仿宋"/>
          <w:spacing w:val="1"/>
          <w:sz w:val="28"/>
          <w:szCs w:val="28"/>
          <w:u w:val="single" w:color="auto"/>
        </w:rPr>
        <w:t xml:space="preserve">     </w:t>
      </w:r>
      <w:r>
        <w:rPr>
          <w:rFonts w:ascii="仿宋" w:hAnsi="仿宋" w:eastAsia="仿宋" w:cs="仿宋"/>
          <w:spacing w:val="-105"/>
          <w:sz w:val="28"/>
          <w:szCs w:val="28"/>
        </w:rPr>
        <w:t xml:space="preserve"> </w:t>
      </w:r>
      <w:r>
        <w:rPr>
          <w:rFonts w:ascii="宋体" w:hAnsi="宋体" w:eastAsia="宋体" w:cs="宋体"/>
          <w:spacing w:val="-2"/>
          <w:sz w:val="24"/>
          <w:szCs w:val="24"/>
        </w:rPr>
        <w:t>职务：</w:t>
      </w:r>
      <w:r>
        <w:rPr>
          <w:rFonts w:ascii="宋体" w:hAnsi="宋体" w:eastAsia="宋体" w:cs="宋体"/>
          <w:sz w:val="24"/>
          <w:szCs w:val="24"/>
          <w:u w:val="single" w:color="auto"/>
        </w:rPr>
        <w:t xml:space="preserve">      </w:t>
      </w:r>
    </w:p>
    <w:p w14:paraId="5200FFA2">
      <w:pPr>
        <w:spacing w:before="175" w:line="224" w:lineRule="auto"/>
        <w:ind w:left="28"/>
        <w:rPr>
          <w:rFonts w:ascii="宋体" w:hAnsi="宋体" w:eastAsia="宋体" w:cs="宋体"/>
          <w:sz w:val="24"/>
          <w:szCs w:val="24"/>
        </w:rPr>
      </w:pPr>
      <w:r>
        <w:rPr>
          <w:rFonts w:ascii="宋体" w:hAnsi="宋体" w:eastAsia="宋体" w:cs="宋体"/>
          <w:spacing w:val="-2"/>
          <w:sz w:val="24"/>
          <w:szCs w:val="24"/>
        </w:rPr>
        <w:t>系</w:t>
      </w:r>
      <w:r>
        <w:rPr>
          <w:rFonts w:ascii="宋体" w:hAnsi="宋体" w:eastAsia="宋体" w:cs="宋体"/>
          <w:spacing w:val="-2"/>
          <w:sz w:val="24"/>
          <w:szCs w:val="24"/>
          <w:u w:val="single" w:color="auto"/>
        </w:rPr>
        <w:t xml:space="preserve">                    </w:t>
      </w:r>
      <w:r>
        <w:rPr>
          <w:rFonts w:ascii="宋体" w:hAnsi="宋体" w:eastAsia="宋体" w:cs="宋体"/>
          <w:spacing w:val="37"/>
          <w:sz w:val="24"/>
          <w:szCs w:val="24"/>
        </w:rPr>
        <w:t xml:space="preserve"> </w:t>
      </w:r>
      <w:r>
        <w:rPr>
          <w:rFonts w:ascii="仿宋" w:hAnsi="仿宋" w:eastAsia="仿宋" w:cs="仿宋"/>
          <w:spacing w:val="-2"/>
          <w:sz w:val="28"/>
          <w:szCs w:val="28"/>
        </w:rPr>
        <w:t>(</w:t>
      </w:r>
      <w:r>
        <w:rPr>
          <w:rFonts w:hint="eastAsia" w:ascii="宋体" w:hAnsi="宋体" w:eastAsia="宋体" w:cs="宋体"/>
          <w:spacing w:val="-2"/>
          <w:sz w:val="24"/>
          <w:szCs w:val="24"/>
          <w:lang w:val="en-US" w:eastAsia="zh-CN"/>
        </w:rPr>
        <w:t>供应商</w:t>
      </w:r>
      <w:r>
        <w:rPr>
          <w:rFonts w:ascii="宋体" w:hAnsi="宋体" w:eastAsia="宋体" w:cs="宋体"/>
          <w:spacing w:val="-2"/>
          <w:sz w:val="24"/>
          <w:szCs w:val="24"/>
        </w:rPr>
        <w:t>名称）的法定代表人（单位负责人)</w:t>
      </w:r>
    </w:p>
    <w:p w14:paraId="33C34025">
      <w:pPr>
        <w:spacing w:before="216" w:line="219" w:lineRule="auto"/>
        <w:ind w:left="23"/>
        <w:rPr>
          <w:rFonts w:ascii="宋体" w:hAnsi="宋体" w:eastAsia="宋体" w:cs="宋体"/>
          <w:sz w:val="24"/>
          <w:szCs w:val="24"/>
        </w:rPr>
      </w:pPr>
      <w:r>
        <w:rPr>
          <w:rFonts w:ascii="宋体" w:hAnsi="宋体" w:eastAsia="宋体" w:cs="宋体"/>
          <w:spacing w:val="-2"/>
          <w:sz w:val="24"/>
          <w:szCs w:val="24"/>
        </w:rPr>
        <w:t>特此证明。</w:t>
      </w:r>
    </w:p>
    <w:p w14:paraId="49812864">
      <w:pPr>
        <w:spacing w:before="236" w:line="385" w:lineRule="auto"/>
        <w:ind w:left="23" w:right="3319" w:firstLine="18"/>
        <w:rPr>
          <w:rFonts w:ascii="宋体" w:hAnsi="宋体" w:eastAsia="宋体" w:cs="宋体"/>
          <w:sz w:val="24"/>
          <w:szCs w:val="24"/>
        </w:rPr>
      </w:pPr>
      <w:r>
        <w:rPr>
          <w:rFonts w:ascii="宋体" w:hAnsi="宋体" w:eastAsia="宋体" w:cs="宋体"/>
          <w:spacing w:val="-4"/>
          <w:sz w:val="24"/>
          <w:szCs w:val="24"/>
        </w:rPr>
        <w:t>附：法定代表人（单位负责人）身份证复印件。</w:t>
      </w:r>
      <w:r>
        <w:rPr>
          <w:rFonts w:ascii="宋体" w:hAnsi="宋体" w:eastAsia="宋体" w:cs="宋体"/>
          <w:spacing w:val="15"/>
          <w:sz w:val="24"/>
          <w:szCs w:val="24"/>
        </w:rPr>
        <w:t xml:space="preserve"> </w:t>
      </w:r>
      <w:r>
        <w:rPr>
          <w:rFonts w:ascii="宋体" w:hAnsi="宋体" w:eastAsia="宋体" w:cs="宋体"/>
          <w:spacing w:val="-1"/>
          <w:sz w:val="24"/>
          <w:szCs w:val="24"/>
        </w:rPr>
        <w:t>注：本身份证明需由承揽方加盖单位公章。</w:t>
      </w:r>
    </w:p>
    <w:p w14:paraId="3FAD2C9C">
      <w:pPr>
        <w:pStyle w:val="7"/>
        <w:spacing w:line="254" w:lineRule="auto"/>
      </w:pPr>
    </w:p>
    <w:p w14:paraId="765F1EB1">
      <w:pPr>
        <w:pStyle w:val="7"/>
        <w:spacing w:line="254" w:lineRule="auto"/>
      </w:pPr>
    </w:p>
    <w:p w14:paraId="7B302035">
      <w:pPr>
        <w:pStyle w:val="7"/>
        <w:spacing w:line="254" w:lineRule="auto"/>
      </w:pPr>
    </w:p>
    <w:p w14:paraId="4A1EB79C">
      <w:pPr>
        <w:pStyle w:val="7"/>
        <w:spacing w:line="254" w:lineRule="auto"/>
      </w:pPr>
    </w:p>
    <w:p w14:paraId="4521ACEF">
      <w:pPr>
        <w:pStyle w:val="7"/>
        <w:spacing w:line="255" w:lineRule="auto"/>
      </w:pPr>
    </w:p>
    <w:p w14:paraId="3E457C80">
      <w:pPr>
        <w:pStyle w:val="7"/>
        <w:spacing w:line="255" w:lineRule="auto"/>
      </w:pPr>
    </w:p>
    <w:p w14:paraId="7BFE428A">
      <w:pPr>
        <w:spacing w:before="78" w:line="219" w:lineRule="auto"/>
        <w:ind w:left="4166"/>
        <w:rPr>
          <w:rFonts w:ascii="宋体" w:hAnsi="宋体" w:eastAsia="宋体" w:cs="宋体"/>
          <w:sz w:val="24"/>
          <w:szCs w:val="24"/>
        </w:rPr>
      </w:pPr>
      <w:r>
        <w:rPr>
          <w:rFonts w:hint="eastAsia" w:ascii="宋体" w:hAnsi="宋体" w:eastAsia="宋体" w:cs="宋体"/>
          <w:spacing w:val="-15"/>
          <w:sz w:val="24"/>
          <w:szCs w:val="24"/>
          <w:lang w:val="en-US" w:eastAsia="zh-CN"/>
        </w:rPr>
        <w:t>供应商</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 xml:space="preserve"> </w:t>
      </w:r>
      <w:r>
        <w:rPr>
          <w:rFonts w:ascii="宋体" w:hAnsi="宋体" w:eastAsia="宋体" w:cs="宋体"/>
          <w:spacing w:val="-15"/>
          <w:sz w:val="24"/>
          <w:szCs w:val="24"/>
        </w:rPr>
        <w:t>(单位公章)</w:t>
      </w:r>
    </w:p>
    <w:p w14:paraId="369F48FF">
      <w:pPr>
        <w:pStyle w:val="7"/>
        <w:spacing w:line="264" w:lineRule="auto"/>
      </w:pPr>
    </w:p>
    <w:p w14:paraId="168B1432">
      <w:pPr>
        <w:pStyle w:val="7"/>
        <w:spacing w:line="265" w:lineRule="auto"/>
      </w:pPr>
    </w:p>
    <w:p w14:paraId="7D622BC9">
      <w:pPr>
        <w:pStyle w:val="7"/>
        <w:spacing w:line="265" w:lineRule="auto"/>
      </w:pPr>
    </w:p>
    <w:p w14:paraId="37464F9A">
      <w:pPr>
        <w:spacing w:before="79" w:line="219" w:lineRule="auto"/>
        <w:ind w:left="4663"/>
        <w:rPr>
          <w:rFonts w:ascii="宋体" w:hAnsi="宋体" w:eastAsia="宋体" w:cs="宋体"/>
          <w:sz w:val="24"/>
          <w:szCs w:val="24"/>
        </w:rPr>
      </w:pPr>
      <w:r>
        <w:rPr>
          <w:rFonts w:ascii="宋体" w:hAnsi="宋体" w:eastAsia="宋体" w:cs="宋体"/>
          <w:spacing w:val="-4"/>
          <w:sz w:val="24"/>
          <w:szCs w:val="24"/>
        </w:rPr>
        <w:t>年月日</w:t>
      </w:r>
    </w:p>
    <w:p w14:paraId="015A3DFF">
      <w:pPr>
        <w:spacing w:line="219" w:lineRule="auto"/>
        <w:rPr>
          <w:rFonts w:ascii="宋体" w:hAnsi="宋体" w:eastAsia="宋体" w:cs="宋体"/>
          <w:sz w:val="24"/>
          <w:szCs w:val="24"/>
        </w:rPr>
        <w:sectPr>
          <w:footerReference r:id="rId15" w:type="default"/>
          <w:pgSz w:w="11906" w:h="16839"/>
          <w:pgMar w:top="1431" w:right="1785" w:bottom="1156" w:left="1785" w:header="0" w:footer="994" w:gutter="0"/>
          <w:cols w:space="720" w:num="1"/>
        </w:sectPr>
      </w:pPr>
    </w:p>
    <w:p w14:paraId="01EA8B5C">
      <w:pPr>
        <w:spacing w:before="122" w:line="219" w:lineRule="auto"/>
        <w:ind w:left="508"/>
        <w:rPr>
          <w:rFonts w:ascii="宋体" w:hAnsi="宋体" w:eastAsia="宋体" w:cs="宋体"/>
          <w:sz w:val="24"/>
          <w:szCs w:val="24"/>
        </w:rPr>
      </w:pPr>
      <w:r>
        <w:rPr>
          <w:rFonts w:ascii="宋体" w:hAnsi="宋体" w:eastAsia="宋体" w:cs="宋体"/>
          <w:spacing w:val="-3"/>
          <w:sz w:val="24"/>
          <w:szCs w:val="24"/>
        </w:rPr>
        <w:t>3、授权委托书</w:t>
      </w:r>
    </w:p>
    <w:p w14:paraId="5C7595E7">
      <w:pPr>
        <w:spacing w:before="223" w:line="227" w:lineRule="auto"/>
        <w:ind w:left="1569"/>
        <w:outlineLvl w:val="1"/>
        <w:rPr>
          <w:rFonts w:ascii="仿宋" w:hAnsi="仿宋" w:eastAsia="仿宋" w:cs="仿宋"/>
          <w:sz w:val="30"/>
          <w:szCs w:val="30"/>
        </w:rPr>
      </w:pPr>
      <w:r>
        <w:rPr>
          <w:rFonts w:ascii="黑体" w:hAnsi="黑体" w:eastAsia="黑体" w:cs="黑体"/>
          <w:sz w:val="31"/>
          <w:szCs w:val="31"/>
        </w:rPr>
        <w:t>授权委托书</w:t>
      </w:r>
      <w:r>
        <w:rPr>
          <w:rFonts w:ascii="仿宋" w:hAnsi="仿宋" w:eastAsia="仿宋" w:cs="仿宋"/>
          <w:b/>
          <w:bCs/>
          <w:sz w:val="30"/>
          <w:szCs w:val="30"/>
        </w:rPr>
        <w:t>(适用于委托代理人</w:t>
      </w:r>
      <w:r>
        <w:rPr>
          <w:rFonts w:hint="eastAsia" w:ascii="仿宋" w:hAnsi="仿宋" w:eastAsia="仿宋" w:cs="仿宋"/>
          <w:b/>
          <w:bCs/>
          <w:sz w:val="30"/>
          <w:szCs w:val="30"/>
          <w:lang w:val="en-US" w:eastAsia="zh-CN"/>
        </w:rPr>
        <w:t>报名</w:t>
      </w:r>
      <w:r>
        <w:rPr>
          <w:rFonts w:ascii="仿宋" w:hAnsi="仿宋" w:eastAsia="仿宋" w:cs="仿宋"/>
          <w:b/>
          <w:bCs/>
          <w:sz w:val="30"/>
          <w:szCs w:val="30"/>
        </w:rPr>
        <w:t>时)</w:t>
      </w:r>
    </w:p>
    <w:p w14:paraId="1AFA83AB">
      <w:pPr>
        <w:pStyle w:val="7"/>
        <w:spacing w:line="474" w:lineRule="auto"/>
      </w:pPr>
    </w:p>
    <w:p w14:paraId="2077CF29">
      <w:pPr>
        <w:spacing w:before="78" w:line="293" w:lineRule="auto"/>
        <w:ind w:left="24" w:firstLine="480"/>
        <w:jc w:val="both"/>
        <w:rPr>
          <w:rFonts w:ascii="宋体" w:hAnsi="宋体" w:eastAsia="宋体" w:cs="宋体"/>
          <w:sz w:val="24"/>
          <w:szCs w:val="24"/>
        </w:rPr>
      </w:pPr>
      <w:r>
        <w:rPr>
          <w:rFonts w:ascii="宋体" w:hAnsi="宋体" w:eastAsia="宋体" w:cs="宋体"/>
          <w:spacing w:val="-20"/>
          <w:sz w:val="24"/>
          <w:szCs w:val="24"/>
        </w:rPr>
        <w:t>本人</w:t>
      </w:r>
      <w:r>
        <w:rPr>
          <w:rFonts w:ascii="宋体" w:hAnsi="宋体" w:eastAsia="宋体" w:cs="宋体"/>
          <w:sz w:val="24"/>
          <w:szCs w:val="24"/>
          <w:u w:val="single" w:color="auto"/>
        </w:rPr>
        <w:t xml:space="preserve">       </w:t>
      </w:r>
      <w:r>
        <w:rPr>
          <w:rFonts w:ascii="宋体" w:hAnsi="宋体" w:eastAsia="宋体" w:cs="宋体"/>
          <w:spacing w:val="-20"/>
          <w:sz w:val="24"/>
          <w:szCs w:val="24"/>
        </w:rPr>
        <w:t>（姓名）系</w:t>
      </w:r>
      <w:r>
        <w:rPr>
          <w:rFonts w:ascii="宋体" w:hAnsi="宋体" w:eastAsia="宋体" w:cs="宋体"/>
          <w:spacing w:val="17"/>
          <w:sz w:val="24"/>
          <w:szCs w:val="24"/>
          <w:u w:val="single" w:color="auto"/>
        </w:rPr>
        <w:t xml:space="preserve">       </w:t>
      </w:r>
      <w:r>
        <w:rPr>
          <w:rFonts w:ascii="宋体" w:hAnsi="宋体" w:eastAsia="宋体" w:cs="宋体"/>
          <w:spacing w:val="-20"/>
          <w:sz w:val="24"/>
          <w:szCs w:val="24"/>
        </w:rPr>
        <w:t>（名称）的法定代表人，现</w:t>
      </w:r>
      <w:r>
        <w:rPr>
          <w:rFonts w:ascii="宋体" w:hAnsi="宋体" w:eastAsia="宋体" w:cs="宋体"/>
          <w:spacing w:val="-21"/>
          <w:sz w:val="24"/>
          <w:szCs w:val="24"/>
        </w:rPr>
        <w:t>委托</w:t>
      </w:r>
      <w:r>
        <w:rPr>
          <w:rFonts w:ascii="宋体" w:hAnsi="宋体" w:eastAsia="宋体" w:cs="宋体"/>
          <w:spacing w:val="17"/>
          <w:sz w:val="24"/>
          <w:szCs w:val="24"/>
          <w:u w:val="single" w:color="auto"/>
        </w:rPr>
        <w:t xml:space="preserve">       </w:t>
      </w:r>
      <w:r>
        <w:rPr>
          <w:rFonts w:ascii="宋体" w:hAnsi="宋体" w:eastAsia="宋体" w:cs="宋体"/>
          <w:spacing w:val="-21"/>
          <w:sz w:val="24"/>
          <w:szCs w:val="24"/>
        </w:rPr>
        <w:t>（姓</w:t>
      </w:r>
      <w:r>
        <w:rPr>
          <w:rFonts w:ascii="宋体" w:hAnsi="宋体" w:eastAsia="宋体" w:cs="宋体"/>
          <w:spacing w:val="1"/>
          <w:sz w:val="24"/>
          <w:szCs w:val="24"/>
        </w:rPr>
        <w:t xml:space="preserve"> </w:t>
      </w:r>
      <w:r>
        <w:rPr>
          <w:rFonts w:ascii="宋体" w:hAnsi="宋体" w:eastAsia="宋体" w:cs="宋体"/>
          <w:spacing w:val="-3"/>
          <w:sz w:val="24"/>
          <w:szCs w:val="24"/>
        </w:rPr>
        <w:t>名）为我方代理人。代理人根据授权，以我方名义签署、澄清、说明、补</w:t>
      </w:r>
      <w:r>
        <w:rPr>
          <w:rFonts w:ascii="宋体" w:hAnsi="宋体" w:eastAsia="宋体" w:cs="宋体"/>
          <w:spacing w:val="-4"/>
          <w:sz w:val="24"/>
          <w:szCs w:val="24"/>
        </w:rPr>
        <w:t>正、递</w:t>
      </w:r>
      <w:r>
        <w:rPr>
          <w:rFonts w:ascii="宋体" w:hAnsi="宋体" w:eastAsia="宋体" w:cs="宋体"/>
          <w:sz w:val="24"/>
          <w:szCs w:val="24"/>
        </w:rPr>
        <w:t xml:space="preserve"> </w:t>
      </w:r>
      <w:r>
        <w:rPr>
          <w:rFonts w:ascii="宋体" w:hAnsi="宋体" w:eastAsia="宋体" w:cs="宋体"/>
          <w:spacing w:val="-4"/>
          <w:sz w:val="24"/>
          <w:szCs w:val="24"/>
        </w:rPr>
        <w:t>交、撤回、修改</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（项目名称）响应文件、签订合同和处理有关事宜，</w:t>
      </w:r>
      <w:r>
        <w:rPr>
          <w:rFonts w:ascii="宋体" w:hAnsi="宋体" w:eastAsia="宋体" w:cs="宋体"/>
          <w:sz w:val="24"/>
          <w:szCs w:val="24"/>
        </w:rPr>
        <w:t xml:space="preserve"> </w:t>
      </w:r>
      <w:r>
        <w:rPr>
          <w:rFonts w:ascii="宋体" w:hAnsi="宋体" w:eastAsia="宋体" w:cs="宋体"/>
          <w:spacing w:val="-1"/>
          <w:sz w:val="24"/>
          <w:szCs w:val="24"/>
        </w:rPr>
        <w:t>其法律后果由我方承担。</w:t>
      </w:r>
    </w:p>
    <w:p w14:paraId="1616E5E5">
      <w:pPr>
        <w:spacing w:before="35" w:line="286" w:lineRule="auto"/>
        <w:ind w:left="502" w:right="4927"/>
        <w:rPr>
          <w:rFonts w:ascii="宋体" w:hAnsi="宋体" w:eastAsia="宋体" w:cs="宋体"/>
          <w:sz w:val="24"/>
          <w:szCs w:val="24"/>
        </w:rPr>
      </w:pPr>
      <w:r>
        <w:rPr>
          <w:rFonts w:ascii="宋体" w:hAnsi="宋体" w:eastAsia="宋体" w:cs="宋体"/>
          <w:spacing w:val="-9"/>
          <w:sz w:val="24"/>
          <w:szCs w:val="24"/>
        </w:rPr>
        <w:t>委托期限：</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4"/>
          <w:sz w:val="24"/>
          <w:szCs w:val="24"/>
        </w:rPr>
        <w:t xml:space="preserve"> </w:t>
      </w:r>
      <w:r>
        <w:rPr>
          <w:rFonts w:ascii="宋体" w:hAnsi="宋体" w:eastAsia="宋体" w:cs="宋体"/>
          <w:spacing w:val="-1"/>
          <w:sz w:val="24"/>
          <w:szCs w:val="24"/>
        </w:rPr>
        <w:t>代理人无转委托权。</w:t>
      </w:r>
    </w:p>
    <w:p w14:paraId="4726C073">
      <w:pPr>
        <w:spacing w:before="75" w:line="219" w:lineRule="auto"/>
        <w:ind w:left="522"/>
        <w:rPr>
          <w:rFonts w:ascii="宋体" w:hAnsi="宋体" w:eastAsia="宋体" w:cs="宋体"/>
          <w:sz w:val="24"/>
          <w:szCs w:val="24"/>
        </w:rPr>
      </w:pPr>
      <w:r>
        <w:rPr>
          <w:rFonts w:ascii="宋体" w:hAnsi="宋体" w:eastAsia="宋体" w:cs="宋体"/>
          <w:spacing w:val="2"/>
          <w:sz w:val="24"/>
          <w:szCs w:val="24"/>
        </w:rPr>
        <w:t>附</w:t>
      </w:r>
      <w:r>
        <w:rPr>
          <w:rFonts w:ascii="宋体" w:hAnsi="宋体" w:eastAsia="宋体" w:cs="宋体"/>
          <w:spacing w:val="-30"/>
          <w:sz w:val="24"/>
          <w:szCs w:val="24"/>
        </w:rPr>
        <w:t>：（</w:t>
      </w:r>
      <w:r>
        <w:rPr>
          <w:rFonts w:ascii="宋体" w:hAnsi="宋体" w:eastAsia="宋体" w:cs="宋体"/>
          <w:spacing w:val="2"/>
          <w:sz w:val="24"/>
          <w:szCs w:val="24"/>
        </w:rPr>
        <w:t>1）法定代表人身份证复印件。</w:t>
      </w:r>
    </w:p>
    <w:p w14:paraId="4EB937B7">
      <w:pPr>
        <w:spacing w:before="184" w:line="219" w:lineRule="auto"/>
        <w:ind w:left="874"/>
        <w:rPr>
          <w:rFonts w:ascii="宋体" w:hAnsi="宋体" w:eastAsia="宋体" w:cs="宋体"/>
          <w:sz w:val="24"/>
          <w:szCs w:val="24"/>
        </w:rPr>
      </w:pPr>
      <w:r>
        <w:rPr>
          <w:rFonts w:ascii="宋体" w:hAnsi="宋体" w:eastAsia="宋体" w:cs="宋体"/>
          <w:spacing w:val="-2"/>
          <w:sz w:val="24"/>
          <w:szCs w:val="24"/>
        </w:rPr>
        <w:t>（2）委托代理人身份证复印件。</w:t>
      </w:r>
    </w:p>
    <w:p w14:paraId="206431E0">
      <w:pPr>
        <w:spacing w:before="184" w:line="219" w:lineRule="auto"/>
        <w:ind w:left="874"/>
        <w:rPr>
          <w:rFonts w:ascii="宋体" w:hAnsi="宋体" w:eastAsia="宋体" w:cs="宋体"/>
          <w:sz w:val="24"/>
          <w:szCs w:val="24"/>
        </w:rPr>
      </w:pPr>
      <w:r>
        <w:rPr>
          <w:rFonts w:ascii="宋体" w:hAnsi="宋体" w:eastAsia="宋体" w:cs="宋体"/>
          <w:spacing w:val="-2"/>
          <w:sz w:val="24"/>
          <w:szCs w:val="24"/>
        </w:rPr>
        <w:t>（3）委托代理人社保证明。</w:t>
      </w:r>
    </w:p>
    <w:p w14:paraId="7F69C37A">
      <w:pPr>
        <w:pStyle w:val="7"/>
        <w:spacing w:line="280" w:lineRule="auto"/>
      </w:pPr>
    </w:p>
    <w:p w14:paraId="70A97C85">
      <w:pPr>
        <w:pStyle w:val="7"/>
        <w:spacing w:line="280" w:lineRule="auto"/>
      </w:pPr>
    </w:p>
    <w:p w14:paraId="39BA55FD">
      <w:pPr>
        <w:pStyle w:val="7"/>
        <w:spacing w:line="280" w:lineRule="auto"/>
      </w:pPr>
    </w:p>
    <w:p w14:paraId="4DE9D172">
      <w:pPr>
        <w:spacing w:before="78" w:line="219" w:lineRule="auto"/>
        <w:ind w:left="26"/>
        <w:rPr>
          <w:rFonts w:ascii="宋体" w:hAnsi="宋体" w:eastAsia="宋体" w:cs="宋体"/>
          <w:sz w:val="24"/>
          <w:szCs w:val="24"/>
        </w:rPr>
      </w:pPr>
      <w:r>
        <w:rPr>
          <w:rFonts w:hint="eastAsia" w:ascii="宋体" w:hAnsi="宋体" w:eastAsia="宋体" w:cs="宋体"/>
          <w:spacing w:val="2"/>
          <w:sz w:val="24"/>
          <w:szCs w:val="24"/>
          <w:lang w:val="en-US" w:eastAsia="zh-CN"/>
        </w:rPr>
        <w:t>供应商</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008052CF">
      <w:pPr>
        <w:pStyle w:val="7"/>
        <w:spacing w:line="414" w:lineRule="auto"/>
      </w:pPr>
    </w:p>
    <w:p w14:paraId="2F7AB8C3">
      <w:pPr>
        <w:spacing w:before="79" w:line="219" w:lineRule="auto"/>
        <w:ind w:left="24"/>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签字并盖章）</w:t>
      </w:r>
    </w:p>
    <w:p w14:paraId="3AE91304">
      <w:pPr>
        <w:pStyle w:val="7"/>
        <w:spacing w:line="415" w:lineRule="auto"/>
      </w:pPr>
    </w:p>
    <w:p w14:paraId="40DA0458">
      <w:pPr>
        <w:spacing w:before="79" w:line="219" w:lineRule="auto"/>
        <w:ind w:left="29"/>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6CFE5EB8">
      <w:pPr>
        <w:pStyle w:val="7"/>
        <w:spacing w:line="414" w:lineRule="auto"/>
      </w:pPr>
    </w:p>
    <w:p w14:paraId="5BC79B30">
      <w:pPr>
        <w:spacing w:before="79" w:line="219" w:lineRule="auto"/>
        <w:ind w:left="22"/>
        <w:rPr>
          <w:rFonts w:ascii="宋体" w:hAnsi="宋体" w:eastAsia="宋体" w:cs="宋体"/>
          <w:sz w:val="24"/>
          <w:szCs w:val="24"/>
        </w:rPr>
      </w:pP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5755C03D">
      <w:pPr>
        <w:pStyle w:val="7"/>
        <w:spacing w:line="414" w:lineRule="auto"/>
      </w:pPr>
    </w:p>
    <w:p w14:paraId="38C090F9">
      <w:pPr>
        <w:spacing w:before="78" w:line="219" w:lineRule="auto"/>
        <w:ind w:left="29"/>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7816A50D">
      <w:pPr>
        <w:pStyle w:val="7"/>
        <w:spacing w:line="267" w:lineRule="auto"/>
      </w:pPr>
    </w:p>
    <w:p w14:paraId="49397D99">
      <w:pPr>
        <w:pStyle w:val="7"/>
        <w:spacing w:line="267" w:lineRule="auto"/>
      </w:pPr>
    </w:p>
    <w:p w14:paraId="7D70FED2">
      <w:pPr>
        <w:pStyle w:val="7"/>
        <w:spacing w:line="267" w:lineRule="auto"/>
      </w:pPr>
    </w:p>
    <w:p w14:paraId="0B43A67E">
      <w:pPr>
        <w:tabs>
          <w:tab w:val="left" w:pos="3493"/>
        </w:tabs>
        <w:spacing w:before="78" w:line="219" w:lineRule="auto"/>
        <w:ind w:left="265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0"/>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9"/>
          <w:sz w:val="24"/>
          <w:szCs w:val="24"/>
        </w:rPr>
        <w:t>日</w:t>
      </w:r>
    </w:p>
    <w:p w14:paraId="22C30184">
      <w:pPr>
        <w:spacing w:line="219" w:lineRule="auto"/>
        <w:rPr>
          <w:rFonts w:ascii="宋体" w:hAnsi="宋体" w:eastAsia="宋体" w:cs="宋体"/>
          <w:sz w:val="24"/>
          <w:szCs w:val="24"/>
        </w:rPr>
        <w:sectPr>
          <w:footerReference r:id="rId16" w:type="default"/>
          <w:pgSz w:w="11906" w:h="16839"/>
          <w:pgMar w:top="1431" w:right="1738" w:bottom="1156" w:left="1785" w:header="0" w:footer="994" w:gutter="0"/>
          <w:cols w:space="720" w:num="1"/>
        </w:sectPr>
      </w:pPr>
    </w:p>
    <w:p w14:paraId="043A5306">
      <w:pPr>
        <w:pStyle w:val="7"/>
        <w:spacing w:line="273" w:lineRule="auto"/>
      </w:pPr>
    </w:p>
    <w:p w14:paraId="1AA0C622">
      <w:pPr>
        <w:pStyle w:val="7"/>
        <w:spacing w:line="274" w:lineRule="auto"/>
      </w:pPr>
    </w:p>
    <w:p w14:paraId="703FE3ED">
      <w:pPr>
        <w:spacing w:before="62" w:line="228" w:lineRule="auto"/>
        <w:ind w:left="119"/>
        <w:outlineLvl w:val="2"/>
        <w:rPr>
          <w:rFonts w:ascii="宋体" w:hAnsi="宋体" w:eastAsia="宋体" w:cs="宋体"/>
          <w:sz w:val="19"/>
          <w:szCs w:val="19"/>
        </w:rPr>
      </w:pPr>
      <w:r>
        <w:rPr>
          <w:rFonts w:ascii="宋体" w:hAnsi="宋体" w:eastAsia="宋体" w:cs="宋体"/>
          <w:b/>
          <w:bCs/>
          <w:spacing w:val="7"/>
          <w:sz w:val="19"/>
          <w:szCs w:val="19"/>
        </w:rPr>
        <w:t>4、资格审查资料</w:t>
      </w:r>
    </w:p>
    <w:p w14:paraId="47643AD4">
      <w:pPr>
        <w:spacing w:before="293" w:line="219" w:lineRule="auto"/>
        <w:ind w:left="121"/>
        <w:rPr>
          <w:rFonts w:ascii="宋体" w:hAnsi="宋体" w:eastAsia="宋体" w:cs="宋体"/>
          <w:sz w:val="24"/>
          <w:szCs w:val="24"/>
        </w:rPr>
      </w:pPr>
      <w:r>
        <w:rPr>
          <w:rFonts w:ascii="宋体" w:hAnsi="宋体" w:eastAsia="宋体" w:cs="宋体"/>
          <w:spacing w:val="-2"/>
          <w:sz w:val="24"/>
          <w:szCs w:val="24"/>
        </w:rPr>
        <w:t>4.1</w:t>
      </w:r>
      <w:r>
        <w:rPr>
          <w:rFonts w:ascii="宋体" w:hAnsi="宋体" w:eastAsia="宋体" w:cs="宋体"/>
          <w:spacing w:val="-38"/>
          <w:sz w:val="24"/>
          <w:szCs w:val="24"/>
        </w:rPr>
        <w:t xml:space="preserve"> </w:t>
      </w:r>
      <w:r>
        <w:rPr>
          <w:rFonts w:ascii="宋体" w:hAnsi="宋体" w:eastAsia="宋体" w:cs="宋体"/>
          <w:spacing w:val="-2"/>
          <w:sz w:val="24"/>
          <w:szCs w:val="24"/>
        </w:rPr>
        <w:t>承揽方基本情况及证书复印件</w:t>
      </w:r>
    </w:p>
    <w:p w14:paraId="3E2FDCA7">
      <w:pPr>
        <w:spacing w:before="183" w:line="219" w:lineRule="auto"/>
        <w:ind w:left="3794"/>
        <w:rPr>
          <w:rFonts w:ascii="宋体" w:hAnsi="宋体" w:eastAsia="宋体" w:cs="宋体"/>
          <w:sz w:val="24"/>
          <w:szCs w:val="24"/>
        </w:rPr>
      </w:pPr>
      <w:r>
        <w:rPr>
          <w:rFonts w:ascii="宋体" w:hAnsi="宋体" w:eastAsia="宋体" w:cs="宋体"/>
          <w:b/>
          <w:bCs/>
          <w:spacing w:val="-5"/>
          <w:sz w:val="24"/>
          <w:szCs w:val="24"/>
        </w:rPr>
        <w:t>基本情况</w:t>
      </w:r>
    </w:p>
    <w:p w14:paraId="6B227EE8">
      <w:pPr>
        <w:spacing w:line="68" w:lineRule="exact"/>
      </w:pPr>
    </w:p>
    <w:tbl>
      <w:tblPr>
        <w:tblStyle w:val="13"/>
        <w:tblW w:w="9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4"/>
        <w:gridCol w:w="1416"/>
        <w:gridCol w:w="1096"/>
        <w:gridCol w:w="333"/>
        <w:gridCol w:w="474"/>
        <w:gridCol w:w="853"/>
        <w:gridCol w:w="1146"/>
        <w:gridCol w:w="187"/>
        <w:gridCol w:w="652"/>
        <w:gridCol w:w="1499"/>
      </w:tblGrid>
      <w:tr w14:paraId="011AC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64" w:type="dxa"/>
            <w:vAlign w:val="top"/>
          </w:tcPr>
          <w:p w14:paraId="77B340C3">
            <w:pPr>
              <w:pStyle w:val="14"/>
              <w:spacing w:before="120" w:line="219" w:lineRule="auto"/>
              <w:ind w:left="189"/>
            </w:pPr>
            <w:r>
              <w:rPr>
                <w:spacing w:val="-2"/>
              </w:rPr>
              <w:t>承揽方名称</w:t>
            </w:r>
          </w:p>
        </w:tc>
        <w:tc>
          <w:tcPr>
            <w:tcW w:w="7656" w:type="dxa"/>
            <w:gridSpan w:val="9"/>
            <w:vAlign w:val="top"/>
          </w:tcPr>
          <w:p w14:paraId="059C1815">
            <w:pPr>
              <w:rPr>
                <w:rFonts w:ascii="Arial"/>
                <w:sz w:val="21"/>
              </w:rPr>
            </w:pPr>
          </w:p>
        </w:tc>
      </w:tr>
      <w:tr w14:paraId="0E3A2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564" w:type="dxa"/>
            <w:vAlign w:val="top"/>
          </w:tcPr>
          <w:p w14:paraId="63F50489">
            <w:pPr>
              <w:pStyle w:val="14"/>
              <w:spacing w:before="115" w:line="205" w:lineRule="auto"/>
              <w:ind w:left="430"/>
            </w:pPr>
            <w:r>
              <w:rPr>
                <w:spacing w:val="-4"/>
              </w:rPr>
              <w:t>制造商</w:t>
            </w:r>
          </w:p>
        </w:tc>
        <w:tc>
          <w:tcPr>
            <w:tcW w:w="2845" w:type="dxa"/>
            <w:gridSpan w:val="3"/>
            <w:vAlign w:val="top"/>
          </w:tcPr>
          <w:p w14:paraId="24A59B99">
            <w:pPr>
              <w:rPr>
                <w:rFonts w:ascii="Arial"/>
                <w:sz w:val="21"/>
              </w:rPr>
            </w:pPr>
          </w:p>
        </w:tc>
        <w:tc>
          <w:tcPr>
            <w:tcW w:w="1327" w:type="dxa"/>
            <w:gridSpan w:val="2"/>
            <w:vAlign w:val="top"/>
          </w:tcPr>
          <w:p w14:paraId="381F8D3F">
            <w:pPr>
              <w:pStyle w:val="14"/>
              <w:spacing w:before="115" w:line="205" w:lineRule="auto"/>
              <w:ind w:left="188"/>
            </w:pPr>
            <w:r>
              <w:rPr>
                <w:spacing w:val="-3"/>
              </w:rPr>
              <w:t>所属集团</w:t>
            </w:r>
          </w:p>
        </w:tc>
        <w:tc>
          <w:tcPr>
            <w:tcW w:w="3484" w:type="dxa"/>
            <w:gridSpan w:val="4"/>
            <w:vAlign w:val="top"/>
          </w:tcPr>
          <w:p w14:paraId="242DADB7">
            <w:pPr>
              <w:rPr>
                <w:rFonts w:ascii="Arial"/>
                <w:sz w:val="21"/>
              </w:rPr>
            </w:pPr>
          </w:p>
        </w:tc>
      </w:tr>
      <w:tr w14:paraId="33D76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Align w:val="top"/>
          </w:tcPr>
          <w:p w14:paraId="0A432E58">
            <w:pPr>
              <w:pStyle w:val="14"/>
              <w:spacing w:before="114" w:line="221" w:lineRule="auto"/>
              <w:ind w:left="309"/>
            </w:pPr>
            <w:r>
              <w:rPr>
                <w:spacing w:val="-3"/>
              </w:rPr>
              <w:t>注册地址</w:t>
            </w:r>
          </w:p>
        </w:tc>
        <w:tc>
          <w:tcPr>
            <w:tcW w:w="4172" w:type="dxa"/>
            <w:gridSpan w:val="5"/>
            <w:vAlign w:val="top"/>
          </w:tcPr>
          <w:p w14:paraId="44CADF87">
            <w:pPr>
              <w:rPr>
                <w:rFonts w:ascii="Arial"/>
                <w:sz w:val="21"/>
              </w:rPr>
            </w:pPr>
          </w:p>
        </w:tc>
        <w:tc>
          <w:tcPr>
            <w:tcW w:w="1146" w:type="dxa"/>
            <w:vAlign w:val="top"/>
          </w:tcPr>
          <w:p w14:paraId="6A159439">
            <w:pPr>
              <w:pStyle w:val="14"/>
              <w:spacing w:before="115" w:line="219" w:lineRule="auto"/>
              <w:ind w:left="113"/>
            </w:pPr>
            <w:r>
              <w:rPr>
                <w:spacing w:val="-7"/>
              </w:rPr>
              <w:t>邮政编码</w:t>
            </w:r>
          </w:p>
        </w:tc>
        <w:tc>
          <w:tcPr>
            <w:tcW w:w="2338" w:type="dxa"/>
            <w:gridSpan w:val="3"/>
            <w:vAlign w:val="top"/>
          </w:tcPr>
          <w:p w14:paraId="5CC6020D">
            <w:pPr>
              <w:rPr>
                <w:rFonts w:ascii="Arial"/>
                <w:sz w:val="21"/>
              </w:rPr>
            </w:pPr>
          </w:p>
        </w:tc>
      </w:tr>
      <w:tr w14:paraId="0A957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64" w:type="dxa"/>
            <w:vAlign w:val="top"/>
          </w:tcPr>
          <w:p w14:paraId="062DD8D5">
            <w:pPr>
              <w:pStyle w:val="14"/>
              <w:spacing w:before="38" w:line="342" w:lineRule="auto"/>
              <w:ind w:left="309" w:right="299" w:firstLine="121"/>
            </w:pPr>
            <w:r>
              <w:rPr>
                <w:spacing w:val="-4"/>
              </w:rPr>
              <w:t>成立或</w:t>
            </w:r>
            <w:r>
              <w:t xml:space="preserve">  </w:t>
            </w:r>
            <w:r>
              <w:rPr>
                <w:spacing w:val="-3"/>
              </w:rPr>
              <w:t>注册时间</w:t>
            </w:r>
          </w:p>
        </w:tc>
        <w:tc>
          <w:tcPr>
            <w:tcW w:w="4172" w:type="dxa"/>
            <w:gridSpan w:val="5"/>
            <w:vAlign w:val="top"/>
          </w:tcPr>
          <w:p w14:paraId="44FC4989">
            <w:pPr>
              <w:rPr>
                <w:rFonts w:ascii="Arial"/>
                <w:sz w:val="21"/>
              </w:rPr>
            </w:pPr>
          </w:p>
        </w:tc>
        <w:tc>
          <w:tcPr>
            <w:tcW w:w="1146" w:type="dxa"/>
            <w:vAlign w:val="top"/>
          </w:tcPr>
          <w:p w14:paraId="4797AED8">
            <w:pPr>
              <w:spacing w:line="267" w:lineRule="auto"/>
              <w:rPr>
                <w:rFonts w:ascii="Arial"/>
                <w:sz w:val="21"/>
              </w:rPr>
            </w:pPr>
          </w:p>
          <w:p w14:paraId="23E671E8">
            <w:pPr>
              <w:pStyle w:val="14"/>
              <w:spacing w:before="78" w:line="221" w:lineRule="auto"/>
              <w:ind w:left="95"/>
            </w:pPr>
            <w:r>
              <w:rPr>
                <w:spacing w:val="-3"/>
              </w:rPr>
              <w:t>注册资金</w:t>
            </w:r>
          </w:p>
        </w:tc>
        <w:tc>
          <w:tcPr>
            <w:tcW w:w="2338" w:type="dxa"/>
            <w:gridSpan w:val="3"/>
            <w:vAlign w:val="top"/>
          </w:tcPr>
          <w:p w14:paraId="0288D013">
            <w:pPr>
              <w:rPr>
                <w:rFonts w:ascii="Arial"/>
                <w:sz w:val="21"/>
              </w:rPr>
            </w:pPr>
          </w:p>
        </w:tc>
      </w:tr>
      <w:tr w14:paraId="049ED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Align w:val="top"/>
          </w:tcPr>
          <w:p w14:paraId="7851BE16">
            <w:pPr>
              <w:pStyle w:val="14"/>
              <w:spacing w:before="115" w:line="219" w:lineRule="auto"/>
              <w:ind w:left="191"/>
            </w:pPr>
            <w:r>
              <w:rPr>
                <w:spacing w:val="-3"/>
              </w:rPr>
              <w:t>主要负责人</w:t>
            </w:r>
          </w:p>
        </w:tc>
        <w:tc>
          <w:tcPr>
            <w:tcW w:w="4172" w:type="dxa"/>
            <w:gridSpan w:val="5"/>
            <w:vAlign w:val="top"/>
          </w:tcPr>
          <w:p w14:paraId="664478F8">
            <w:pPr>
              <w:rPr>
                <w:rFonts w:ascii="Arial"/>
                <w:sz w:val="21"/>
              </w:rPr>
            </w:pPr>
          </w:p>
        </w:tc>
        <w:tc>
          <w:tcPr>
            <w:tcW w:w="1146" w:type="dxa"/>
            <w:vAlign w:val="top"/>
          </w:tcPr>
          <w:p w14:paraId="4AD42E51">
            <w:pPr>
              <w:pStyle w:val="14"/>
              <w:spacing w:before="115" w:line="221" w:lineRule="auto"/>
              <w:ind w:left="363"/>
            </w:pPr>
            <w:r>
              <w:rPr>
                <w:spacing w:val="-19"/>
              </w:rPr>
              <w:t>电话</w:t>
            </w:r>
          </w:p>
        </w:tc>
        <w:tc>
          <w:tcPr>
            <w:tcW w:w="2338" w:type="dxa"/>
            <w:gridSpan w:val="3"/>
            <w:vAlign w:val="top"/>
          </w:tcPr>
          <w:p w14:paraId="16C8A30C">
            <w:pPr>
              <w:rPr>
                <w:rFonts w:ascii="Arial"/>
                <w:sz w:val="21"/>
              </w:rPr>
            </w:pPr>
          </w:p>
        </w:tc>
      </w:tr>
      <w:tr w14:paraId="5B15E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restart"/>
            <w:tcBorders>
              <w:bottom w:val="nil"/>
            </w:tcBorders>
            <w:vAlign w:val="top"/>
          </w:tcPr>
          <w:p w14:paraId="60E41B53">
            <w:pPr>
              <w:spacing w:line="274" w:lineRule="auto"/>
              <w:rPr>
                <w:rFonts w:ascii="Arial"/>
                <w:sz w:val="21"/>
              </w:rPr>
            </w:pPr>
          </w:p>
          <w:p w14:paraId="7C2566AB">
            <w:pPr>
              <w:pStyle w:val="14"/>
              <w:spacing w:before="78" w:line="221" w:lineRule="auto"/>
              <w:ind w:left="310"/>
            </w:pPr>
            <w:r>
              <w:rPr>
                <w:spacing w:val="-3"/>
              </w:rPr>
              <w:t>联系方式</w:t>
            </w:r>
          </w:p>
        </w:tc>
        <w:tc>
          <w:tcPr>
            <w:tcW w:w="1416" w:type="dxa"/>
            <w:vAlign w:val="top"/>
          </w:tcPr>
          <w:p w14:paraId="1EBCF8CA">
            <w:pPr>
              <w:pStyle w:val="14"/>
              <w:spacing w:before="117" w:line="221" w:lineRule="auto"/>
              <w:ind w:left="354"/>
            </w:pPr>
            <w:r>
              <w:rPr>
                <w:spacing w:val="-4"/>
              </w:rPr>
              <w:t>联系人</w:t>
            </w:r>
          </w:p>
        </w:tc>
        <w:tc>
          <w:tcPr>
            <w:tcW w:w="2756" w:type="dxa"/>
            <w:gridSpan w:val="4"/>
            <w:vAlign w:val="top"/>
          </w:tcPr>
          <w:p w14:paraId="10795EFA">
            <w:pPr>
              <w:rPr>
                <w:rFonts w:ascii="Arial"/>
                <w:sz w:val="21"/>
              </w:rPr>
            </w:pPr>
          </w:p>
        </w:tc>
        <w:tc>
          <w:tcPr>
            <w:tcW w:w="1146" w:type="dxa"/>
            <w:vAlign w:val="top"/>
          </w:tcPr>
          <w:p w14:paraId="38688932">
            <w:pPr>
              <w:pStyle w:val="14"/>
              <w:spacing w:before="117" w:line="221" w:lineRule="auto"/>
              <w:ind w:left="363"/>
            </w:pPr>
            <w:r>
              <w:rPr>
                <w:spacing w:val="-19"/>
              </w:rPr>
              <w:t>电话</w:t>
            </w:r>
          </w:p>
        </w:tc>
        <w:tc>
          <w:tcPr>
            <w:tcW w:w="2338" w:type="dxa"/>
            <w:gridSpan w:val="3"/>
            <w:vAlign w:val="top"/>
          </w:tcPr>
          <w:p w14:paraId="28D6112F">
            <w:pPr>
              <w:rPr>
                <w:rFonts w:ascii="Arial"/>
                <w:sz w:val="21"/>
              </w:rPr>
            </w:pPr>
          </w:p>
        </w:tc>
      </w:tr>
      <w:tr w14:paraId="77CA8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tcBorders>
            <w:vAlign w:val="top"/>
          </w:tcPr>
          <w:p w14:paraId="3C1DDC74">
            <w:pPr>
              <w:rPr>
                <w:rFonts w:ascii="Arial"/>
                <w:sz w:val="21"/>
              </w:rPr>
            </w:pPr>
          </w:p>
        </w:tc>
        <w:tc>
          <w:tcPr>
            <w:tcW w:w="1416" w:type="dxa"/>
            <w:vAlign w:val="top"/>
          </w:tcPr>
          <w:p w14:paraId="4AB1B66F">
            <w:pPr>
              <w:pStyle w:val="14"/>
              <w:spacing w:before="115" w:line="219" w:lineRule="auto"/>
              <w:ind w:left="351"/>
            </w:pPr>
            <w:r>
              <w:rPr>
                <w:spacing w:val="-4"/>
              </w:rPr>
              <w:t>传</w:t>
            </w:r>
            <w:r>
              <w:rPr>
                <w:spacing w:val="6"/>
              </w:rPr>
              <w:t xml:space="preserve">  </w:t>
            </w:r>
            <w:r>
              <w:rPr>
                <w:spacing w:val="-4"/>
              </w:rPr>
              <w:t>真</w:t>
            </w:r>
          </w:p>
        </w:tc>
        <w:tc>
          <w:tcPr>
            <w:tcW w:w="2756" w:type="dxa"/>
            <w:gridSpan w:val="4"/>
            <w:vAlign w:val="top"/>
          </w:tcPr>
          <w:p w14:paraId="509F2E30">
            <w:pPr>
              <w:rPr>
                <w:rFonts w:ascii="Arial"/>
                <w:sz w:val="21"/>
              </w:rPr>
            </w:pPr>
          </w:p>
        </w:tc>
        <w:tc>
          <w:tcPr>
            <w:tcW w:w="1146" w:type="dxa"/>
            <w:vAlign w:val="top"/>
          </w:tcPr>
          <w:p w14:paraId="01C4E976">
            <w:pPr>
              <w:pStyle w:val="14"/>
              <w:spacing w:before="116" w:line="220" w:lineRule="auto"/>
              <w:ind w:left="123"/>
            </w:pPr>
            <w:r>
              <w:rPr>
                <w:spacing w:val="-10"/>
              </w:rPr>
              <w:t>电子邮箱</w:t>
            </w:r>
          </w:p>
        </w:tc>
        <w:tc>
          <w:tcPr>
            <w:tcW w:w="2338" w:type="dxa"/>
            <w:gridSpan w:val="3"/>
            <w:vAlign w:val="top"/>
          </w:tcPr>
          <w:p w14:paraId="0D1E0D4A">
            <w:pPr>
              <w:rPr>
                <w:rFonts w:ascii="Arial"/>
                <w:sz w:val="21"/>
              </w:rPr>
            </w:pPr>
          </w:p>
        </w:tc>
      </w:tr>
      <w:tr w14:paraId="20FC4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655F5A79">
            <w:pPr>
              <w:rPr>
                <w:rFonts w:ascii="Arial"/>
                <w:sz w:val="21"/>
              </w:rPr>
            </w:pPr>
          </w:p>
        </w:tc>
        <w:tc>
          <w:tcPr>
            <w:tcW w:w="1416" w:type="dxa"/>
            <w:vMerge w:val="restart"/>
            <w:tcBorders>
              <w:bottom w:val="nil"/>
            </w:tcBorders>
            <w:vAlign w:val="top"/>
          </w:tcPr>
          <w:p w14:paraId="22FB1720">
            <w:pPr>
              <w:spacing w:line="280" w:lineRule="auto"/>
              <w:rPr>
                <w:rFonts w:ascii="Arial"/>
                <w:sz w:val="21"/>
              </w:rPr>
            </w:pPr>
          </w:p>
          <w:p w14:paraId="0DDFDD19">
            <w:pPr>
              <w:pStyle w:val="14"/>
              <w:spacing w:before="78" w:line="347" w:lineRule="auto"/>
              <w:ind w:left="360" w:right="347" w:hanging="8"/>
            </w:pPr>
            <w:r>
              <w:rPr>
                <w:spacing w:val="-11"/>
              </w:rPr>
              <w:t>近</w:t>
            </w:r>
            <w:r>
              <w:rPr>
                <w:spacing w:val="-46"/>
              </w:rPr>
              <w:t xml:space="preserve"> </w:t>
            </w:r>
            <w:r>
              <w:rPr>
                <w:spacing w:val="-11"/>
              </w:rPr>
              <w:t>3</w:t>
            </w:r>
            <w:r>
              <w:rPr>
                <w:spacing w:val="-50"/>
              </w:rPr>
              <w:t xml:space="preserve"> </w:t>
            </w:r>
            <w:r>
              <w:rPr>
                <w:spacing w:val="-11"/>
              </w:rPr>
              <w:t>年</w:t>
            </w:r>
            <w:r>
              <w:t xml:space="preserve"> </w:t>
            </w:r>
            <w:r>
              <w:rPr>
                <w:spacing w:val="-6"/>
              </w:rPr>
              <w:t>营业额</w:t>
            </w:r>
          </w:p>
        </w:tc>
        <w:tc>
          <w:tcPr>
            <w:tcW w:w="1096" w:type="dxa"/>
            <w:vAlign w:val="top"/>
          </w:tcPr>
          <w:p w14:paraId="4CBFE099">
            <w:pPr>
              <w:pStyle w:val="14"/>
              <w:spacing w:before="116" w:line="219" w:lineRule="auto"/>
              <w:ind w:left="315"/>
            </w:pPr>
            <w:r>
              <w:rPr>
                <w:spacing w:val="-6"/>
              </w:rPr>
              <w:t>年份</w:t>
            </w:r>
          </w:p>
        </w:tc>
        <w:tc>
          <w:tcPr>
            <w:tcW w:w="1660" w:type="dxa"/>
            <w:gridSpan w:val="3"/>
            <w:vAlign w:val="top"/>
          </w:tcPr>
          <w:p w14:paraId="303F2FD3">
            <w:pPr>
              <w:rPr>
                <w:rFonts w:ascii="Arial"/>
                <w:sz w:val="21"/>
              </w:rPr>
            </w:pPr>
          </w:p>
        </w:tc>
        <w:tc>
          <w:tcPr>
            <w:tcW w:w="1333" w:type="dxa"/>
            <w:gridSpan w:val="2"/>
            <w:vAlign w:val="top"/>
          </w:tcPr>
          <w:p w14:paraId="4F73FFCA">
            <w:pPr>
              <w:pStyle w:val="14"/>
              <w:spacing w:before="116" w:line="219" w:lineRule="auto"/>
              <w:ind w:left="435"/>
            </w:pPr>
            <w:r>
              <w:rPr>
                <w:spacing w:val="-6"/>
              </w:rPr>
              <w:t>金额</w:t>
            </w:r>
          </w:p>
        </w:tc>
        <w:tc>
          <w:tcPr>
            <w:tcW w:w="2151" w:type="dxa"/>
            <w:gridSpan w:val="2"/>
            <w:vAlign w:val="top"/>
          </w:tcPr>
          <w:p w14:paraId="1749FAD9">
            <w:pPr>
              <w:rPr>
                <w:rFonts w:ascii="Arial"/>
                <w:sz w:val="21"/>
              </w:rPr>
            </w:pPr>
          </w:p>
        </w:tc>
      </w:tr>
      <w:tr w14:paraId="35B01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64" w:type="dxa"/>
            <w:vMerge w:val="continue"/>
            <w:tcBorders>
              <w:top w:val="nil"/>
              <w:bottom w:val="nil"/>
            </w:tcBorders>
            <w:vAlign w:val="top"/>
          </w:tcPr>
          <w:p w14:paraId="411C5666">
            <w:pPr>
              <w:rPr>
                <w:rFonts w:ascii="Arial"/>
                <w:sz w:val="21"/>
              </w:rPr>
            </w:pPr>
          </w:p>
        </w:tc>
        <w:tc>
          <w:tcPr>
            <w:tcW w:w="1416" w:type="dxa"/>
            <w:vMerge w:val="continue"/>
            <w:tcBorders>
              <w:top w:val="nil"/>
              <w:bottom w:val="nil"/>
            </w:tcBorders>
            <w:vAlign w:val="top"/>
          </w:tcPr>
          <w:p w14:paraId="423333CC">
            <w:pPr>
              <w:rPr>
                <w:rFonts w:ascii="Arial"/>
                <w:sz w:val="21"/>
              </w:rPr>
            </w:pPr>
          </w:p>
        </w:tc>
        <w:tc>
          <w:tcPr>
            <w:tcW w:w="1096" w:type="dxa"/>
            <w:vAlign w:val="top"/>
          </w:tcPr>
          <w:p w14:paraId="4B6FA4A9">
            <w:pPr>
              <w:pStyle w:val="14"/>
              <w:spacing w:before="115" w:line="219" w:lineRule="auto"/>
              <w:ind w:left="315"/>
            </w:pPr>
            <w:r>
              <w:rPr>
                <w:spacing w:val="-6"/>
              </w:rPr>
              <w:t>年份</w:t>
            </w:r>
          </w:p>
        </w:tc>
        <w:tc>
          <w:tcPr>
            <w:tcW w:w="1660" w:type="dxa"/>
            <w:gridSpan w:val="3"/>
            <w:vAlign w:val="top"/>
          </w:tcPr>
          <w:p w14:paraId="3C7F8BC9">
            <w:pPr>
              <w:rPr>
                <w:rFonts w:ascii="Arial"/>
                <w:sz w:val="21"/>
              </w:rPr>
            </w:pPr>
          </w:p>
        </w:tc>
        <w:tc>
          <w:tcPr>
            <w:tcW w:w="1333" w:type="dxa"/>
            <w:gridSpan w:val="2"/>
            <w:vAlign w:val="top"/>
          </w:tcPr>
          <w:p w14:paraId="2E162465">
            <w:pPr>
              <w:pStyle w:val="14"/>
              <w:spacing w:before="115" w:line="219" w:lineRule="auto"/>
              <w:ind w:left="435"/>
            </w:pPr>
            <w:r>
              <w:rPr>
                <w:spacing w:val="-6"/>
              </w:rPr>
              <w:t>金额</w:t>
            </w:r>
          </w:p>
        </w:tc>
        <w:tc>
          <w:tcPr>
            <w:tcW w:w="2151" w:type="dxa"/>
            <w:gridSpan w:val="2"/>
            <w:vAlign w:val="top"/>
          </w:tcPr>
          <w:p w14:paraId="17381B74">
            <w:pPr>
              <w:rPr>
                <w:rFonts w:ascii="Arial"/>
                <w:sz w:val="21"/>
              </w:rPr>
            </w:pPr>
          </w:p>
        </w:tc>
      </w:tr>
      <w:tr w14:paraId="289B9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17D95C8D">
            <w:pPr>
              <w:rPr>
                <w:rFonts w:ascii="Arial"/>
                <w:sz w:val="21"/>
              </w:rPr>
            </w:pPr>
          </w:p>
        </w:tc>
        <w:tc>
          <w:tcPr>
            <w:tcW w:w="1416" w:type="dxa"/>
            <w:vMerge w:val="continue"/>
            <w:tcBorders>
              <w:top w:val="nil"/>
            </w:tcBorders>
            <w:vAlign w:val="top"/>
          </w:tcPr>
          <w:p w14:paraId="129E68DC">
            <w:pPr>
              <w:rPr>
                <w:rFonts w:ascii="Arial"/>
                <w:sz w:val="21"/>
              </w:rPr>
            </w:pPr>
          </w:p>
        </w:tc>
        <w:tc>
          <w:tcPr>
            <w:tcW w:w="1096" w:type="dxa"/>
            <w:vAlign w:val="top"/>
          </w:tcPr>
          <w:p w14:paraId="4CEFDC3B">
            <w:pPr>
              <w:pStyle w:val="14"/>
              <w:spacing w:before="116" w:line="219" w:lineRule="auto"/>
              <w:ind w:left="315"/>
            </w:pPr>
            <w:r>
              <w:rPr>
                <w:spacing w:val="-6"/>
              </w:rPr>
              <w:t>年份</w:t>
            </w:r>
          </w:p>
        </w:tc>
        <w:tc>
          <w:tcPr>
            <w:tcW w:w="1660" w:type="dxa"/>
            <w:gridSpan w:val="3"/>
            <w:vAlign w:val="top"/>
          </w:tcPr>
          <w:p w14:paraId="205D0FCA">
            <w:pPr>
              <w:rPr>
                <w:rFonts w:ascii="Arial"/>
                <w:sz w:val="21"/>
              </w:rPr>
            </w:pPr>
          </w:p>
        </w:tc>
        <w:tc>
          <w:tcPr>
            <w:tcW w:w="1333" w:type="dxa"/>
            <w:gridSpan w:val="2"/>
            <w:vAlign w:val="top"/>
          </w:tcPr>
          <w:p w14:paraId="35C2840F">
            <w:pPr>
              <w:pStyle w:val="14"/>
              <w:spacing w:before="116" w:line="219" w:lineRule="auto"/>
              <w:ind w:left="435"/>
            </w:pPr>
            <w:r>
              <w:rPr>
                <w:spacing w:val="-6"/>
              </w:rPr>
              <w:t>金额</w:t>
            </w:r>
          </w:p>
        </w:tc>
        <w:tc>
          <w:tcPr>
            <w:tcW w:w="2151" w:type="dxa"/>
            <w:gridSpan w:val="2"/>
            <w:vAlign w:val="top"/>
          </w:tcPr>
          <w:p w14:paraId="74F95157">
            <w:pPr>
              <w:rPr>
                <w:rFonts w:ascii="Arial"/>
                <w:sz w:val="21"/>
              </w:rPr>
            </w:pPr>
          </w:p>
        </w:tc>
      </w:tr>
      <w:tr w14:paraId="18525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64" w:type="dxa"/>
            <w:vMerge w:val="continue"/>
            <w:tcBorders>
              <w:top w:val="nil"/>
              <w:bottom w:val="nil"/>
            </w:tcBorders>
            <w:vAlign w:val="top"/>
          </w:tcPr>
          <w:p w14:paraId="29EF047D">
            <w:pPr>
              <w:rPr>
                <w:rFonts w:ascii="Arial"/>
                <w:sz w:val="21"/>
              </w:rPr>
            </w:pPr>
          </w:p>
        </w:tc>
        <w:tc>
          <w:tcPr>
            <w:tcW w:w="1416" w:type="dxa"/>
            <w:vMerge w:val="restart"/>
            <w:tcBorders>
              <w:bottom w:val="nil"/>
            </w:tcBorders>
            <w:vAlign w:val="top"/>
          </w:tcPr>
          <w:p w14:paraId="14668218">
            <w:pPr>
              <w:pStyle w:val="14"/>
              <w:spacing w:before="38" w:line="345" w:lineRule="auto"/>
              <w:ind w:left="362" w:right="227" w:hanging="130"/>
            </w:pPr>
            <w:r>
              <w:rPr>
                <w:spacing w:val="-3"/>
              </w:rPr>
              <w:t>近期资产</w:t>
            </w:r>
            <w:r>
              <w:rPr>
                <w:spacing w:val="2"/>
              </w:rPr>
              <w:t xml:space="preserve"> </w:t>
            </w:r>
            <w:r>
              <w:rPr>
                <w:spacing w:val="-7"/>
              </w:rPr>
              <w:t>负债表</w:t>
            </w:r>
          </w:p>
          <w:p w14:paraId="397B566F">
            <w:pPr>
              <w:pStyle w:val="14"/>
              <w:spacing w:before="34" w:line="219" w:lineRule="auto"/>
              <w:ind w:left="191"/>
            </w:pPr>
            <w:r>
              <w:rPr>
                <w:spacing w:val="-4"/>
              </w:rPr>
              <w:t>到年月日止</w:t>
            </w:r>
          </w:p>
        </w:tc>
        <w:tc>
          <w:tcPr>
            <w:tcW w:w="1096" w:type="dxa"/>
            <w:vAlign w:val="top"/>
          </w:tcPr>
          <w:p w14:paraId="6B6F1864">
            <w:pPr>
              <w:pStyle w:val="14"/>
              <w:spacing w:before="116" w:line="219" w:lineRule="auto"/>
              <w:ind w:left="95"/>
            </w:pPr>
            <w:r>
              <w:rPr>
                <w:spacing w:val="-8"/>
              </w:rPr>
              <w:t>固定资产</w:t>
            </w:r>
          </w:p>
        </w:tc>
        <w:tc>
          <w:tcPr>
            <w:tcW w:w="1660" w:type="dxa"/>
            <w:gridSpan w:val="3"/>
            <w:vAlign w:val="top"/>
          </w:tcPr>
          <w:p w14:paraId="3BA57059">
            <w:pPr>
              <w:rPr>
                <w:rFonts w:ascii="Arial"/>
                <w:sz w:val="21"/>
              </w:rPr>
            </w:pPr>
          </w:p>
        </w:tc>
        <w:tc>
          <w:tcPr>
            <w:tcW w:w="1333" w:type="dxa"/>
            <w:gridSpan w:val="2"/>
            <w:vAlign w:val="top"/>
          </w:tcPr>
          <w:p w14:paraId="00502C26">
            <w:pPr>
              <w:pStyle w:val="14"/>
              <w:spacing w:before="116" w:line="219" w:lineRule="auto"/>
              <w:ind w:left="194"/>
            </w:pPr>
            <w:r>
              <w:rPr>
                <w:spacing w:val="-3"/>
              </w:rPr>
              <w:t>流动资产</w:t>
            </w:r>
          </w:p>
        </w:tc>
        <w:tc>
          <w:tcPr>
            <w:tcW w:w="2151" w:type="dxa"/>
            <w:gridSpan w:val="2"/>
            <w:vAlign w:val="top"/>
          </w:tcPr>
          <w:p w14:paraId="7AA4014C">
            <w:pPr>
              <w:rPr>
                <w:rFonts w:ascii="Arial"/>
                <w:sz w:val="21"/>
              </w:rPr>
            </w:pPr>
          </w:p>
        </w:tc>
      </w:tr>
      <w:tr w14:paraId="19801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1564" w:type="dxa"/>
            <w:vMerge w:val="continue"/>
            <w:tcBorders>
              <w:top w:val="nil"/>
              <w:bottom w:val="nil"/>
            </w:tcBorders>
            <w:vAlign w:val="top"/>
          </w:tcPr>
          <w:p w14:paraId="2FA206E5">
            <w:pPr>
              <w:rPr>
                <w:rFonts w:ascii="Arial"/>
                <w:sz w:val="21"/>
              </w:rPr>
            </w:pPr>
          </w:p>
        </w:tc>
        <w:tc>
          <w:tcPr>
            <w:tcW w:w="1416" w:type="dxa"/>
            <w:vMerge w:val="continue"/>
            <w:tcBorders>
              <w:top w:val="nil"/>
            </w:tcBorders>
            <w:vAlign w:val="top"/>
          </w:tcPr>
          <w:p w14:paraId="6E2A9CB9">
            <w:pPr>
              <w:rPr>
                <w:rFonts w:ascii="Arial"/>
                <w:sz w:val="21"/>
              </w:rPr>
            </w:pPr>
          </w:p>
        </w:tc>
        <w:tc>
          <w:tcPr>
            <w:tcW w:w="1096" w:type="dxa"/>
            <w:vAlign w:val="top"/>
          </w:tcPr>
          <w:p w14:paraId="686EA2D3">
            <w:pPr>
              <w:spacing w:line="265" w:lineRule="auto"/>
              <w:rPr>
                <w:rFonts w:ascii="Arial"/>
                <w:sz w:val="21"/>
              </w:rPr>
            </w:pPr>
          </w:p>
          <w:p w14:paraId="5A7A9507">
            <w:pPr>
              <w:pStyle w:val="14"/>
              <w:spacing w:before="78" w:line="219" w:lineRule="auto"/>
              <w:ind w:left="75"/>
            </w:pPr>
            <w:r>
              <w:rPr>
                <w:spacing w:val="-3"/>
              </w:rPr>
              <w:t>长期负债</w:t>
            </w:r>
          </w:p>
        </w:tc>
        <w:tc>
          <w:tcPr>
            <w:tcW w:w="807" w:type="dxa"/>
            <w:gridSpan w:val="2"/>
            <w:vAlign w:val="top"/>
          </w:tcPr>
          <w:p w14:paraId="3147151D">
            <w:pPr>
              <w:rPr>
                <w:rFonts w:ascii="Arial"/>
                <w:sz w:val="21"/>
              </w:rPr>
            </w:pPr>
          </w:p>
        </w:tc>
        <w:tc>
          <w:tcPr>
            <w:tcW w:w="853" w:type="dxa"/>
            <w:vAlign w:val="top"/>
          </w:tcPr>
          <w:p w14:paraId="40E87A87">
            <w:pPr>
              <w:rPr>
                <w:rFonts w:ascii="Arial"/>
                <w:sz w:val="21"/>
              </w:rPr>
            </w:pPr>
          </w:p>
        </w:tc>
        <w:tc>
          <w:tcPr>
            <w:tcW w:w="1333" w:type="dxa"/>
            <w:gridSpan w:val="2"/>
            <w:vAlign w:val="top"/>
          </w:tcPr>
          <w:p w14:paraId="47C5A0C2">
            <w:pPr>
              <w:spacing w:line="265" w:lineRule="auto"/>
              <w:rPr>
                <w:rFonts w:ascii="Arial"/>
                <w:sz w:val="21"/>
              </w:rPr>
            </w:pPr>
          </w:p>
          <w:p w14:paraId="0532B695">
            <w:pPr>
              <w:pStyle w:val="14"/>
              <w:spacing w:before="78" w:line="219" w:lineRule="auto"/>
              <w:ind w:left="161"/>
            </w:pPr>
            <w:r>
              <w:rPr>
                <w:spacing w:val="-3"/>
              </w:rPr>
              <w:t>流动负债</w:t>
            </w:r>
          </w:p>
        </w:tc>
        <w:tc>
          <w:tcPr>
            <w:tcW w:w="652" w:type="dxa"/>
            <w:vAlign w:val="top"/>
          </w:tcPr>
          <w:p w14:paraId="0613F5CB">
            <w:pPr>
              <w:rPr>
                <w:rFonts w:ascii="Arial"/>
                <w:sz w:val="21"/>
              </w:rPr>
            </w:pPr>
          </w:p>
        </w:tc>
        <w:tc>
          <w:tcPr>
            <w:tcW w:w="1499" w:type="dxa"/>
            <w:vAlign w:val="top"/>
          </w:tcPr>
          <w:p w14:paraId="407A2CE3">
            <w:pPr>
              <w:rPr>
                <w:rFonts w:ascii="Arial"/>
                <w:sz w:val="21"/>
              </w:rPr>
            </w:pPr>
          </w:p>
        </w:tc>
      </w:tr>
      <w:tr w14:paraId="36ED2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64" w:type="dxa"/>
            <w:vMerge w:val="continue"/>
            <w:tcBorders>
              <w:top w:val="nil"/>
            </w:tcBorders>
            <w:vAlign w:val="top"/>
          </w:tcPr>
          <w:p w14:paraId="7AA01D4A">
            <w:pPr>
              <w:rPr>
                <w:rFonts w:ascii="Arial"/>
                <w:sz w:val="21"/>
              </w:rPr>
            </w:pPr>
          </w:p>
        </w:tc>
        <w:tc>
          <w:tcPr>
            <w:tcW w:w="7656" w:type="dxa"/>
            <w:gridSpan w:val="9"/>
            <w:vAlign w:val="top"/>
          </w:tcPr>
          <w:p w14:paraId="1B1EE9B7">
            <w:pPr>
              <w:pStyle w:val="14"/>
              <w:spacing w:before="118" w:line="220" w:lineRule="auto"/>
              <w:ind w:left="115"/>
            </w:pPr>
            <w:r>
              <w:rPr>
                <w:spacing w:val="-3"/>
              </w:rPr>
              <w:t>经营范围：</w:t>
            </w:r>
          </w:p>
        </w:tc>
      </w:tr>
    </w:tbl>
    <w:p w14:paraId="0C9978E3">
      <w:pPr>
        <w:spacing w:before="115" w:line="219" w:lineRule="auto"/>
        <w:ind w:left="602"/>
        <w:rPr>
          <w:rFonts w:ascii="宋体" w:hAnsi="宋体" w:eastAsia="宋体" w:cs="宋体"/>
          <w:sz w:val="24"/>
          <w:szCs w:val="24"/>
        </w:rPr>
      </w:pPr>
      <w:r>
        <w:rPr>
          <w:rFonts w:ascii="宋体" w:hAnsi="宋体" w:eastAsia="宋体" w:cs="宋体"/>
          <w:spacing w:val="-1"/>
          <w:sz w:val="24"/>
          <w:szCs w:val="24"/>
        </w:rPr>
        <w:t>注：本表可增加并扩展。</w:t>
      </w:r>
    </w:p>
    <w:p w14:paraId="262FBFB5">
      <w:pPr>
        <w:spacing w:before="185" w:line="346" w:lineRule="auto"/>
        <w:ind w:left="122" w:right="806" w:firstLine="498"/>
        <w:rPr>
          <w:rFonts w:ascii="宋体" w:hAnsi="宋体" w:eastAsia="宋体" w:cs="宋体"/>
          <w:sz w:val="24"/>
          <w:szCs w:val="24"/>
        </w:rPr>
      </w:pPr>
      <w:r>
        <w:rPr>
          <w:rFonts w:ascii="宋体" w:hAnsi="宋体" w:eastAsia="宋体" w:cs="宋体"/>
          <w:spacing w:val="-4"/>
          <w:sz w:val="24"/>
          <w:szCs w:val="24"/>
        </w:rPr>
        <w:t>附：包括但不限于：营业执照、资质证书、体系认证、资信等级、人员资格</w:t>
      </w:r>
      <w:r>
        <w:rPr>
          <w:rFonts w:ascii="宋体" w:hAnsi="宋体" w:eastAsia="宋体" w:cs="宋体"/>
          <w:spacing w:val="9"/>
          <w:sz w:val="24"/>
          <w:szCs w:val="24"/>
        </w:rPr>
        <w:t xml:space="preserve"> </w:t>
      </w:r>
      <w:r>
        <w:rPr>
          <w:rFonts w:ascii="宋体" w:hAnsi="宋体" w:eastAsia="宋体" w:cs="宋体"/>
          <w:spacing w:val="-1"/>
          <w:sz w:val="24"/>
          <w:szCs w:val="24"/>
        </w:rPr>
        <w:t>证书、业绩合同、获奖证书等的复印件，加盖公章。</w:t>
      </w:r>
    </w:p>
    <w:p w14:paraId="79669E72">
      <w:pPr>
        <w:spacing w:line="346" w:lineRule="auto"/>
        <w:rPr>
          <w:rFonts w:ascii="宋体" w:hAnsi="宋体" w:eastAsia="宋体" w:cs="宋体"/>
          <w:sz w:val="24"/>
          <w:szCs w:val="24"/>
        </w:rPr>
        <w:sectPr>
          <w:footerReference r:id="rId17" w:type="default"/>
          <w:pgSz w:w="11906" w:h="16839"/>
          <w:pgMar w:top="1431" w:right="993" w:bottom="1156" w:left="1687" w:header="0" w:footer="994" w:gutter="0"/>
          <w:cols w:space="720" w:num="1"/>
        </w:sectPr>
      </w:pPr>
    </w:p>
    <w:p w14:paraId="56C7E001">
      <w:pPr>
        <w:pStyle w:val="7"/>
        <w:spacing w:line="474" w:lineRule="auto"/>
      </w:pPr>
    </w:p>
    <w:p w14:paraId="768E029A">
      <w:pPr>
        <w:spacing w:before="78" w:line="219" w:lineRule="auto"/>
        <w:ind w:left="121"/>
        <w:rPr>
          <w:rFonts w:ascii="宋体" w:hAnsi="宋体" w:eastAsia="宋体" w:cs="宋体"/>
          <w:sz w:val="24"/>
          <w:szCs w:val="24"/>
        </w:rPr>
      </w:pPr>
      <w:r>
        <w:rPr>
          <w:rFonts w:ascii="宋体" w:hAnsi="宋体" w:eastAsia="宋体" w:cs="宋体"/>
          <w:spacing w:val="-2"/>
          <w:sz w:val="24"/>
          <w:szCs w:val="24"/>
        </w:rPr>
        <w:t>4.2</w:t>
      </w:r>
      <w:r>
        <w:rPr>
          <w:rFonts w:ascii="宋体" w:hAnsi="宋体" w:eastAsia="宋体" w:cs="宋体"/>
          <w:spacing w:val="-40"/>
          <w:sz w:val="24"/>
          <w:szCs w:val="24"/>
        </w:rPr>
        <w:t xml:space="preserve"> </w:t>
      </w:r>
      <w:r>
        <w:rPr>
          <w:rFonts w:ascii="宋体" w:hAnsi="宋体" w:eastAsia="宋体" w:cs="宋体"/>
          <w:spacing w:val="-2"/>
          <w:sz w:val="24"/>
          <w:szCs w:val="24"/>
        </w:rPr>
        <w:t>符合资格条件的业绩汇总表</w:t>
      </w:r>
    </w:p>
    <w:p w14:paraId="767FDE5F">
      <w:pPr>
        <w:spacing w:line="68" w:lineRule="exact"/>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8"/>
        <w:gridCol w:w="6449"/>
      </w:tblGrid>
      <w:tr w14:paraId="0C63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258" w:type="dxa"/>
            <w:noWrap w:val="0"/>
            <w:vAlign w:val="center"/>
          </w:tcPr>
          <w:p w14:paraId="1E7AE0BB">
            <w:pPr>
              <w:topLinePunct/>
              <w:spacing w:line="300" w:lineRule="auto"/>
              <w:jc w:val="center"/>
              <w:rPr>
                <w:rFonts w:ascii="Times New Roman" w:hAnsi="Times New Roman"/>
                <w:color w:val="000000"/>
                <w:szCs w:val="21"/>
              </w:rPr>
            </w:pPr>
            <w:r>
              <w:rPr>
                <w:rFonts w:ascii="Times New Roman" w:hAnsi="Times New Roman"/>
                <w:color w:val="000000"/>
                <w:szCs w:val="21"/>
              </w:rPr>
              <w:t>项目名称</w:t>
            </w:r>
          </w:p>
        </w:tc>
        <w:tc>
          <w:tcPr>
            <w:tcW w:w="6449" w:type="dxa"/>
            <w:noWrap w:val="0"/>
            <w:vAlign w:val="top"/>
          </w:tcPr>
          <w:p w14:paraId="1FDE89FA">
            <w:pPr>
              <w:topLinePunct/>
              <w:spacing w:line="300" w:lineRule="auto"/>
              <w:rPr>
                <w:rFonts w:ascii="Times New Roman" w:hAnsi="Times New Roman"/>
                <w:color w:val="000000"/>
                <w:szCs w:val="21"/>
              </w:rPr>
            </w:pPr>
          </w:p>
        </w:tc>
      </w:tr>
      <w:tr w14:paraId="7349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58" w:type="dxa"/>
            <w:noWrap w:val="0"/>
            <w:vAlign w:val="center"/>
          </w:tcPr>
          <w:p w14:paraId="67A73A73">
            <w:pPr>
              <w:topLinePunct/>
              <w:spacing w:line="300" w:lineRule="auto"/>
              <w:jc w:val="center"/>
              <w:rPr>
                <w:rFonts w:ascii="Times New Roman" w:hAnsi="Times New Roman"/>
                <w:color w:val="000000"/>
                <w:szCs w:val="21"/>
              </w:rPr>
            </w:pPr>
            <w:r>
              <w:rPr>
                <w:rFonts w:ascii="Times New Roman" w:hAnsi="Times New Roman"/>
                <w:color w:val="000000"/>
                <w:szCs w:val="21"/>
              </w:rPr>
              <w:t>项目所在地</w:t>
            </w:r>
          </w:p>
        </w:tc>
        <w:tc>
          <w:tcPr>
            <w:tcW w:w="6449" w:type="dxa"/>
            <w:noWrap w:val="0"/>
            <w:vAlign w:val="top"/>
          </w:tcPr>
          <w:p w14:paraId="5BFA6821">
            <w:pPr>
              <w:topLinePunct/>
              <w:spacing w:line="300" w:lineRule="auto"/>
              <w:rPr>
                <w:rFonts w:ascii="Times New Roman" w:hAnsi="Times New Roman"/>
                <w:color w:val="000000"/>
                <w:szCs w:val="21"/>
              </w:rPr>
            </w:pPr>
          </w:p>
        </w:tc>
      </w:tr>
      <w:tr w14:paraId="68A3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258" w:type="dxa"/>
            <w:noWrap w:val="0"/>
            <w:vAlign w:val="center"/>
          </w:tcPr>
          <w:p w14:paraId="11458A2B">
            <w:pPr>
              <w:topLinePunct/>
              <w:spacing w:line="300" w:lineRule="auto"/>
              <w:jc w:val="center"/>
              <w:rPr>
                <w:rFonts w:ascii="Times New Roman" w:hAnsi="Times New Roman"/>
                <w:color w:val="000000"/>
                <w:szCs w:val="21"/>
              </w:rPr>
            </w:pPr>
            <w:r>
              <w:rPr>
                <w:rFonts w:ascii="Times New Roman" w:hAnsi="Times New Roman"/>
                <w:color w:val="000000"/>
                <w:szCs w:val="21"/>
              </w:rPr>
              <w:t>发包人名称</w:t>
            </w:r>
          </w:p>
        </w:tc>
        <w:tc>
          <w:tcPr>
            <w:tcW w:w="6449" w:type="dxa"/>
            <w:noWrap w:val="0"/>
            <w:vAlign w:val="top"/>
          </w:tcPr>
          <w:p w14:paraId="72F4C135">
            <w:pPr>
              <w:topLinePunct/>
              <w:spacing w:line="300" w:lineRule="auto"/>
              <w:rPr>
                <w:rFonts w:ascii="Times New Roman" w:hAnsi="Times New Roman"/>
                <w:color w:val="000000"/>
                <w:szCs w:val="21"/>
              </w:rPr>
            </w:pPr>
          </w:p>
        </w:tc>
      </w:tr>
      <w:tr w14:paraId="5842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58" w:type="dxa"/>
            <w:noWrap w:val="0"/>
            <w:vAlign w:val="center"/>
          </w:tcPr>
          <w:p w14:paraId="000A92C8">
            <w:pPr>
              <w:topLinePunct/>
              <w:spacing w:line="300" w:lineRule="auto"/>
              <w:jc w:val="center"/>
              <w:rPr>
                <w:rFonts w:ascii="Times New Roman" w:hAnsi="Times New Roman"/>
                <w:color w:val="000000"/>
                <w:szCs w:val="21"/>
              </w:rPr>
            </w:pPr>
            <w:r>
              <w:rPr>
                <w:rFonts w:ascii="Times New Roman" w:hAnsi="Times New Roman"/>
                <w:color w:val="000000"/>
                <w:szCs w:val="21"/>
              </w:rPr>
              <w:t>发包人地址</w:t>
            </w:r>
          </w:p>
        </w:tc>
        <w:tc>
          <w:tcPr>
            <w:tcW w:w="6449" w:type="dxa"/>
            <w:noWrap w:val="0"/>
            <w:vAlign w:val="top"/>
          </w:tcPr>
          <w:p w14:paraId="2B94BCDA">
            <w:pPr>
              <w:topLinePunct/>
              <w:spacing w:line="300" w:lineRule="auto"/>
              <w:rPr>
                <w:rFonts w:ascii="Times New Roman" w:hAnsi="Times New Roman"/>
                <w:color w:val="000000"/>
                <w:szCs w:val="21"/>
              </w:rPr>
            </w:pPr>
          </w:p>
        </w:tc>
      </w:tr>
      <w:tr w14:paraId="66D3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258" w:type="dxa"/>
            <w:noWrap w:val="0"/>
            <w:vAlign w:val="center"/>
          </w:tcPr>
          <w:p w14:paraId="684B0D02">
            <w:pPr>
              <w:topLinePunct/>
              <w:spacing w:line="300" w:lineRule="auto"/>
              <w:jc w:val="center"/>
              <w:rPr>
                <w:rFonts w:ascii="Times New Roman" w:hAnsi="Times New Roman"/>
                <w:color w:val="000000"/>
                <w:szCs w:val="21"/>
              </w:rPr>
            </w:pPr>
            <w:r>
              <w:rPr>
                <w:rFonts w:ascii="Times New Roman" w:hAnsi="Times New Roman"/>
                <w:color w:val="000000"/>
                <w:szCs w:val="21"/>
              </w:rPr>
              <w:t>发包人电话</w:t>
            </w:r>
          </w:p>
        </w:tc>
        <w:tc>
          <w:tcPr>
            <w:tcW w:w="6449" w:type="dxa"/>
            <w:noWrap w:val="0"/>
            <w:vAlign w:val="top"/>
          </w:tcPr>
          <w:p w14:paraId="5134DFBE">
            <w:pPr>
              <w:topLinePunct/>
              <w:spacing w:line="300" w:lineRule="auto"/>
              <w:rPr>
                <w:rFonts w:ascii="Times New Roman" w:hAnsi="Times New Roman"/>
                <w:color w:val="000000"/>
                <w:szCs w:val="21"/>
              </w:rPr>
            </w:pPr>
          </w:p>
        </w:tc>
      </w:tr>
      <w:tr w14:paraId="4B91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258" w:type="dxa"/>
            <w:noWrap w:val="0"/>
            <w:vAlign w:val="center"/>
          </w:tcPr>
          <w:p w14:paraId="01A919EA">
            <w:pPr>
              <w:topLinePunct/>
              <w:spacing w:line="300" w:lineRule="auto"/>
              <w:jc w:val="center"/>
              <w:rPr>
                <w:rFonts w:ascii="Times New Roman" w:hAnsi="Times New Roman"/>
                <w:color w:val="000000"/>
                <w:szCs w:val="21"/>
              </w:rPr>
            </w:pPr>
            <w:r>
              <w:rPr>
                <w:rFonts w:ascii="Times New Roman" w:hAnsi="Times New Roman"/>
                <w:color w:val="000000"/>
                <w:szCs w:val="21"/>
              </w:rPr>
              <w:t>合同价格</w:t>
            </w:r>
          </w:p>
        </w:tc>
        <w:tc>
          <w:tcPr>
            <w:tcW w:w="6449" w:type="dxa"/>
            <w:noWrap w:val="0"/>
            <w:vAlign w:val="top"/>
          </w:tcPr>
          <w:p w14:paraId="4928D082">
            <w:pPr>
              <w:topLinePunct/>
              <w:spacing w:line="300" w:lineRule="auto"/>
              <w:rPr>
                <w:rFonts w:ascii="Times New Roman" w:hAnsi="Times New Roman"/>
                <w:color w:val="000000"/>
                <w:szCs w:val="21"/>
              </w:rPr>
            </w:pPr>
          </w:p>
        </w:tc>
      </w:tr>
      <w:tr w14:paraId="5A94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258" w:type="dxa"/>
            <w:noWrap w:val="0"/>
            <w:vAlign w:val="center"/>
          </w:tcPr>
          <w:p w14:paraId="3A0994D7">
            <w:pPr>
              <w:topLinePunct/>
              <w:spacing w:line="300" w:lineRule="auto"/>
              <w:jc w:val="center"/>
              <w:rPr>
                <w:rFonts w:ascii="Times New Roman" w:hAnsi="Times New Roman"/>
                <w:color w:val="000000"/>
                <w:szCs w:val="21"/>
              </w:rPr>
            </w:pPr>
            <w:r>
              <w:rPr>
                <w:rFonts w:ascii="Times New Roman" w:hAnsi="Times New Roman"/>
                <w:color w:val="000000"/>
                <w:szCs w:val="21"/>
              </w:rPr>
              <w:t>开工日期</w:t>
            </w:r>
          </w:p>
        </w:tc>
        <w:tc>
          <w:tcPr>
            <w:tcW w:w="6449" w:type="dxa"/>
            <w:noWrap w:val="0"/>
            <w:vAlign w:val="top"/>
          </w:tcPr>
          <w:p w14:paraId="4C347558">
            <w:pPr>
              <w:topLinePunct/>
              <w:spacing w:line="300" w:lineRule="auto"/>
              <w:rPr>
                <w:rFonts w:ascii="Times New Roman" w:hAnsi="Times New Roman"/>
                <w:color w:val="000000"/>
                <w:szCs w:val="21"/>
              </w:rPr>
            </w:pPr>
          </w:p>
        </w:tc>
      </w:tr>
      <w:tr w14:paraId="42C8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58" w:type="dxa"/>
            <w:noWrap w:val="0"/>
            <w:vAlign w:val="center"/>
          </w:tcPr>
          <w:p w14:paraId="4706531F">
            <w:pPr>
              <w:topLinePunct/>
              <w:spacing w:line="300" w:lineRule="auto"/>
              <w:jc w:val="center"/>
              <w:rPr>
                <w:rFonts w:ascii="Times New Roman" w:hAnsi="Times New Roman"/>
                <w:color w:val="000000"/>
                <w:szCs w:val="21"/>
              </w:rPr>
            </w:pPr>
            <w:r>
              <w:rPr>
                <w:rFonts w:ascii="Times New Roman" w:hAnsi="Times New Roman"/>
                <w:color w:val="000000"/>
              </w:rPr>
              <w:t>竣工</w:t>
            </w:r>
            <w:r>
              <w:rPr>
                <w:rFonts w:ascii="Times New Roman" w:hAnsi="Times New Roman"/>
                <w:color w:val="000000"/>
                <w:szCs w:val="21"/>
              </w:rPr>
              <w:t>日期</w:t>
            </w:r>
          </w:p>
        </w:tc>
        <w:tc>
          <w:tcPr>
            <w:tcW w:w="6449" w:type="dxa"/>
            <w:noWrap w:val="0"/>
            <w:vAlign w:val="top"/>
          </w:tcPr>
          <w:p w14:paraId="3175DBEE">
            <w:pPr>
              <w:topLinePunct/>
              <w:spacing w:line="300" w:lineRule="auto"/>
              <w:rPr>
                <w:rFonts w:ascii="Times New Roman" w:hAnsi="Times New Roman"/>
                <w:color w:val="000000"/>
                <w:szCs w:val="21"/>
              </w:rPr>
            </w:pPr>
          </w:p>
        </w:tc>
      </w:tr>
      <w:tr w14:paraId="58F3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58" w:type="dxa"/>
            <w:noWrap w:val="0"/>
            <w:vAlign w:val="center"/>
          </w:tcPr>
          <w:p w14:paraId="67FD683F">
            <w:pPr>
              <w:topLinePunct/>
              <w:spacing w:line="300" w:lineRule="auto"/>
              <w:jc w:val="center"/>
              <w:rPr>
                <w:rFonts w:ascii="Times New Roman" w:hAnsi="Times New Roman"/>
                <w:color w:val="000000"/>
                <w:szCs w:val="21"/>
              </w:rPr>
            </w:pPr>
            <w:r>
              <w:rPr>
                <w:rFonts w:ascii="Times New Roman" w:hAnsi="Times New Roman"/>
                <w:color w:val="000000"/>
                <w:szCs w:val="21"/>
              </w:rPr>
              <w:t>承担的工作</w:t>
            </w:r>
          </w:p>
        </w:tc>
        <w:tc>
          <w:tcPr>
            <w:tcW w:w="6449" w:type="dxa"/>
            <w:noWrap w:val="0"/>
            <w:vAlign w:val="top"/>
          </w:tcPr>
          <w:p w14:paraId="652B80A8">
            <w:pPr>
              <w:topLinePunct/>
              <w:spacing w:line="300" w:lineRule="auto"/>
              <w:rPr>
                <w:rFonts w:ascii="Times New Roman" w:hAnsi="Times New Roman"/>
                <w:color w:val="000000"/>
                <w:szCs w:val="21"/>
              </w:rPr>
            </w:pPr>
          </w:p>
        </w:tc>
      </w:tr>
      <w:tr w14:paraId="18E5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58" w:type="dxa"/>
            <w:noWrap w:val="0"/>
            <w:vAlign w:val="center"/>
          </w:tcPr>
          <w:p w14:paraId="27F2E965">
            <w:pPr>
              <w:topLinePunct/>
              <w:spacing w:line="300" w:lineRule="auto"/>
              <w:jc w:val="center"/>
              <w:rPr>
                <w:rFonts w:ascii="Times New Roman" w:hAnsi="Times New Roman"/>
                <w:color w:val="000000"/>
                <w:szCs w:val="21"/>
              </w:rPr>
            </w:pPr>
            <w:r>
              <w:rPr>
                <w:rFonts w:ascii="Times New Roman" w:hAnsi="Times New Roman"/>
                <w:color w:val="000000"/>
                <w:szCs w:val="21"/>
              </w:rPr>
              <w:t>工程质量</w:t>
            </w:r>
          </w:p>
        </w:tc>
        <w:tc>
          <w:tcPr>
            <w:tcW w:w="6449" w:type="dxa"/>
            <w:noWrap w:val="0"/>
            <w:vAlign w:val="top"/>
          </w:tcPr>
          <w:p w14:paraId="7A7A3D73">
            <w:pPr>
              <w:topLinePunct/>
              <w:spacing w:line="300" w:lineRule="auto"/>
              <w:rPr>
                <w:rFonts w:ascii="Times New Roman" w:hAnsi="Times New Roman"/>
                <w:color w:val="000000"/>
                <w:szCs w:val="21"/>
              </w:rPr>
            </w:pPr>
          </w:p>
        </w:tc>
      </w:tr>
      <w:tr w14:paraId="1DFD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258" w:type="dxa"/>
            <w:noWrap w:val="0"/>
            <w:vAlign w:val="center"/>
          </w:tcPr>
          <w:p w14:paraId="6578F261">
            <w:pPr>
              <w:topLinePunct/>
              <w:spacing w:line="300" w:lineRule="auto"/>
              <w:jc w:val="center"/>
              <w:rPr>
                <w:rFonts w:ascii="Times New Roman" w:hAnsi="Times New Roman"/>
                <w:color w:val="000000"/>
                <w:szCs w:val="21"/>
              </w:rPr>
            </w:pPr>
            <w:r>
              <w:rPr>
                <w:rFonts w:ascii="Times New Roman" w:hAnsi="Times New Roman"/>
                <w:color w:val="000000"/>
                <w:szCs w:val="21"/>
              </w:rPr>
              <w:t>项目经理</w:t>
            </w:r>
          </w:p>
        </w:tc>
        <w:tc>
          <w:tcPr>
            <w:tcW w:w="6449" w:type="dxa"/>
            <w:noWrap w:val="0"/>
            <w:vAlign w:val="top"/>
          </w:tcPr>
          <w:p w14:paraId="2646F356">
            <w:pPr>
              <w:topLinePunct/>
              <w:spacing w:line="300" w:lineRule="auto"/>
              <w:rPr>
                <w:rFonts w:ascii="Times New Roman" w:hAnsi="Times New Roman"/>
                <w:color w:val="000000"/>
                <w:szCs w:val="21"/>
              </w:rPr>
            </w:pPr>
          </w:p>
        </w:tc>
      </w:tr>
      <w:tr w14:paraId="5D1E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258" w:type="dxa"/>
            <w:noWrap w:val="0"/>
            <w:vAlign w:val="center"/>
          </w:tcPr>
          <w:p w14:paraId="66464F12">
            <w:pPr>
              <w:topLinePunct/>
              <w:spacing w:line="300" w:lineRule="auto"/>
              <w:jc w:val="center"/>
              <w:rPr>
                <w:rFonts w:ascii="Times New Roman" w:hAnsi="Times New Roman"/>
                <w:color w:val="000000"/>
                <w:szCs w:val="21"/>
              </w:rPr>
            </w:pPr>
            <w:r>
              <w:rPr>
                <w:rFonts w:ascii="Times New Roman" w:hAnsi="Times New Roman"/>
                <w:color w:val="000000"/>
                <w:szCs w:val="21"/>
              </w:rPr>
              <w:t>技术负责人</w:t>
            </w:r>
          </w:p>
        </w:tc>
        <w:tc>
          <w:tcPr>
            <w:tcW w:w="6449" w:type="dxa"/>
            <w:noWrap w:val="0"/>
            <w:vAlign w:val="top"/>
          </w:tcPr>
          <w:p w14:paraId="1DDBFD19">
            <w:pPr>
              <w:topLinePunct/>
              <w:spacing w:line="300" w:lineRule="auto"/>
              <w:rPr>
                <w:rFonts w:ascii="Times New Roman" w:hAnsi="Times New Roman"/>
                <w:color w:val="000000"/>
                <w:szCs w:val="21"/>
              </w:rPr>
            </w:pPr>
          </w:p>
        </w:tc>
      </w:tr>
      <w:tr w14:paraId="0BF6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2258" w:type="dxa"/>
            <w:noWrap w:val="0"/>
            <w:vAlign w:val="center"/>
          </w:tcPr>
          <w:p w14:paraId="76E396F6">
            <w:pPr>
              <w:topLinePunct/>
              <w:spacing w:line="300" w:lineRule="auto"/>
              <w:jc w:val="center"/>
              <w:rPr>
                <w:rFonts w:ascii="Times New Roman" w:hAnsi="Times New Roman"/>
                <w:color w:val="000000"/>
                <w:szCs w:val="21"/>
              </w:rPr>
            </w:pPr>
            <w:r>
              <w:rPr>
                <w:rFonts w:ascii="Times New Roman" w:hAnsi="Times New Roman"/>
                <w:color w:val="000000"/>
                <w:szCs w:val="21"/>
              </w:rPr>
              <w:t>项目描述</w:t>
            </w:r>
          </w:p>
        </w:tc>
        <w:tc>
          <w:tcPr>
            <w:tcW w:w="6449" w:type="dxa"/>
            <w:noWrap w:val="0"/>
            <w:vAlign w:val="top"/>
          </w:tcPr>
          <w:p w14:paraId="16764483">
            <w:pPr>
              <w:topLinePunct/>
              <w:spacing w:line="300" w:lineRule="auto"/>
              <w:rPr>
                <w:rFonts w:ascii="Times New Roman" w:hAnsi="Times New Roman"/>
                <w:color w:val="000000"/>
                <w:szCs w:val="21"/>
              </w:rPr>
            </w:pPr>
          </w:p>
          <w:p w14:paraId="359760D3">
            <w:pPr>
              <w:topLinePunct/>
              <w:spacing w:line="300" w:lineRule="auto"/>
              <w:rPr>
                <w:rFonts w:ascii="Times New Roman" w:hAnsi="Times New Roman"/>
                <w:color w:val="000000"/>
                <w:szCs w:val="21"/>
              </w:rPr>
            </w:pPr>
          </w:p>
        </w:tc>
      </w:tr>
      <w:tr w14:paraId="4FF9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258" w:type="dxa"/>
            <w:noWrap w:val="0"/>
            <w:vAlign w:val="center"/>
          </w:tcPr>
          <w:p w14:paraId="6363042D">
            <w:pPr>
              <w:topLinePunct/>
              <w:spacing w:line="300" w:lineRule="auto"/>
              <w:jc w:val="center"/>
              <w:rPr>
                <w:rFonts w:ascii="Times New Roman" w:hAnsi="Times New Roman"/>
                <w:color w:val="000000"/>
                <w:szCs w:val="21"/>
              </w:rPr>
            </w:pPr>
            <w:r>
              <w:rPr>
                <w:rFonts w:ascii="Times New Roman" w:hAnsi="Times New Roman"/>
                <w:color w:val="000000"/>
                <w:szCs w:val="21"/>
              </w:rPr>
              <w:t>备注</w:t>
            </w:r>
          </w:p>
        </w:tc>
        <w:tc>
          <w:tcPr>
            <w:tcW w:w="6449" w:type="dxa"/>
            <w:noWrap w:val="0"/>
            <w:vAlign w:val="top"/>
          </w:tcPr>
          <w:p w14:paraId="0EB83221">
            <w:pPr>
              <w:topLinePunct/>
              <w:spacing w:line="300" w:lineRule="auto"/>
              <w:rPr>
                <w:rFonts w:ascii="Times New Roman" w:hAnsi="Times New Roman"/>
                <w:color w:val="000000"/>
                <w:szCs w:val="21"/>
              </w:rPr>
            </w:pPr>
          </w:p>
        </w:tc>
      </w:tr>
    </w:tbl>
    <w:p w14:paraId="11C0186D">
      <w:pPr>
        <w:spacing w:before="78" w:line="219" w:lineRule="auto"/>
        <w:ind w:left="602"/>
        <w:rPr>
          <w:rFonts w:ascii="宋体" w:hAnsi="宋体" w:eastAsia="宋体" w:cs="宋体"/>
          <w:sz w:val="24"/>
          <w:szCs w:val="24"/>
        </w:rPr>
      </w:pPr>
      <w:r>
        <w:rPr>
          <w:rFonts w:ascii="宋体" w:hAnsi="宋体" w:eastAsia="宋体" w:cs="宋体"/>
          <w:spacing w:val="-1"/>
          <w:sz w:val="24"/>
          <w:szCs w:val="24"/>
        </w:rPr>
        <w:t>注：1、表格可扩展、修改并增加内容。</w:t>
      </w:r>
    </w:p>
    <w:p w14:paraId="28FEBAAE">
      <w:pPr>
        <w:spacing w:before="124" w:line="227" w:lineRule="auto"/>
        <w:ind w:left="997"/>
        <w:rPr>
          <w:rFonts w:ascii="宋体" w:hAnsi="宋体" w:eastAsia="宋体" w:cs="宋体"/>
          <w:sz w:val="19"/>
          <w:szCs w:val="19"/>
        </w:rPr>
      </w:pPr>
      <w:r>
        <w:rPr>
          <w:rFonts w:ascii="Times New Roman" w:hAnsi="Times New Roman" w:eastAsia="Times New Roman" w:cs="Times New Roman"/>
          <w:spacing w:val="3"/>
          <w:sz w:val="19"/>
          <w:szCs w:val="19"/>
        </w:rPr>
        <w:t>2</w:t>
      </w:r>
      <w:r>
        <w:rPr>
          <w:rFonts w:ascii="Times New Roman" w:hAnsi="Times New Roman" w:eastAsia="Times New Roman" w:cs="Times New Roman"/>
          <w:spacing w:val="-23"/>
          <w:sz w:val="19"/>
          <w:szCs w:val="19"/>
        </w:rPr>
        <w:t xml:space="preserve"> </w:t>
      </w:r>
      <w:r>
        <w:rPr>
          <w:rFonts w:ascii="宋体" w:hAnsi="宋体" w:eastAsia="宋体" w:cs="宋体"/>
          <w:spacing w:val="3"/>
          <w:sz w:val="19"/>
          <w:szCs w:val="19"/>
        </w:rPr>
        <w:t>、附原合同。</w:t>
      </w:r>
    </w:p>
    <w:p w14:paraId="2B8AEF6D">
      <w:pPr>
        <w:pStyle w:val="7"/>
        <w:spacing w:line="320" w:lineRule="auto"/>
      </w:pPr>
    </w:p>
    <w:p w14:paraId="0113498A">
      <w:pPr>
        <w:pStyle w:val="7"/>
        <w:spacing w:line="321" w:lineRule="auto"/>
      </w:pPr>
    </w:p>
    <w:p w14:paraId="5264643B">
      <w:pPr>
        <w:spacing w:before="79" w:line="219" w:lineRule="auto"/>
        <w:ind w:left="4322"/>
        <w:rPr>
          <w:rFonts w:ascii="宋体" w:hAnsi="宋体" w:eastAsia="宋体" w:cs="宋体"/>
          <w:sz w:val="24"/>
          <w:szCs w:val="24"/>
        </w:rPr>
      </w:pP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pacing w:val="3"/>
          <w:sz w:val="24"/>
          <w:szCs w:val="24"/>
        </w:rPr>
        <w:t>盖单位章）</w:t>
      </w:r>
    </w:p>
    <w:p w14:paraId="6530073C">
      <w:pPr>
        <w:spacing w:before="184" w:line="219" w:lineRule="auto"/>
        <w:ind w:left="4323"/>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4"/>
          <w:sz w:val="24"/>
          <w:szCs w:val="24"/>
        </w:rPr>
        <w:t>：（</w:t>
      </w:r>
      <w:r>
        <w:rPr>
          <w:rFonts w:ascii="宋体" w:hAnsi="宋体" w:eastAsia="宋体" w:cs="宋体"/>
          <w:spacing w:val="1"/>
          <w:sz w:val="24"/>
          <w:szCs w:val="24"/>
        </w:rPr>
        <w:t>签字）</w:t>
      </w:r>
    </w:p>
    <w:p w14:paraId="0AC3D0F2">
      <w:pPr>
        <w:spacing w:before="184" w:line="219" w:lineRule="auto"/>
        <w:ind w:left="4323"/>
        <w:outlineLvl w:val="2"/>
        <w:rPr>
          <w:rFonts w:ascii="宋体" w:hAnsi="宋体" w:eastAsia="宋体" w:cs="宋体"/>
          <w:sz w:val="24"/>
          <w:szCs w:val="24"/>
        </w:rPr>
      </w:pPr>
      <w:r>
        <w:rPr>
          <w:rFonts w:ascii="宋体" w:hAnsi="宋体" w:eastAsia="宋体" w:cs="宋体"/>
          <w:spacing w:val="-4"/>
          <w:sz w:val="24"/>
          <w:szCs w:val="24"/>
        </w:rPr>
        <w:t>年月日</w:t>
      </w:r>
    </w:p>
    <w:p w14:paraId="0253B21A">
      <w:pPr>
        <w:spacing w:line="219" w:lineRule="auto"/>
        <w:rPr>
          <w:rFonts w:ascii="宋体" w:hAnsi="宋体" w:eastAsia="宋体" w:cs="宋体"/>
          <w:sz w:val="24"/>
          <w:szCs w:val="24"/>
        </w:rPr>
        <w:sectPr>
          <w:footerReference r:id="rId18" w:type="default"/>
          <w:pgSz w:w="11906" w:h="16839"/>
          <w:pgMar w:top="1431" w:right="1312" w:bottom="1156" w:left="1687" w:header="0" w:footer="994" w:gutter="0"/>
          <w:cols w:space="720" w:num="1"/>
        </w:sectPr>
      </w:pPr>
    </w:p>
    <w:p w14:paraId="2AEA82F1">
      <w:pPr>
        <w:spacing w:before="143" w:line="227" w:lineRule="auto"/>
        <w:ind w:left="124"/>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53"/>
          <w:sz w:val="19"/>
          <w:szCs w:val="19"/>
        </w:rPr>
        <w:t xml:space="preserve"> </w:t>
      </w:r>
      <w:r>
        <w:rPr>
          <w:rFonts w:ascii="宋体" w:hAnsi="宋体" w:eastAsia="宋体" w:cs="宋体"/>
          <w:spacing w:val="2"/>
          <w:sz w:val="19"/>
          <w:szCs w:val="19"/>
        </w:rPr>
        <w:t>、报价表</w:t>
      </w:r>
    </w:p>
    <w:p w14:paraId="2FD838C8">
      <w:pPr>
        <w:spacing w:before="295" w:line="218" w:lineRule="auto"/>
        <w:ind w:left="126"/>
        <w:rPr>
          <w:rFonts w:ascii="宋体" w:hAnsi="宋体" w:eastAsia="宋体" w:cs="宋体"/>
          <w:sz w:val="24"/>
          <w:szCs w:val="24"/>
        </w:rPr>
      </w:pPr>
      <w:r>
        <w:rPr>
          <w:rFonts w:ascii="宋体" w:hAnsi="宋体" w:eastAsia="宋体" w:cs="宋体"/>
          <w:b/>
          <w:bCs/>
          <w:spacing w:val="-5"/>
          <w:sz w:val="24"/>
          <w:szCs w:val="24"/>
        </w:rPr>
        <w:t>5.1</w:t>
      </w:r>
      <w:r>
        <w:rPr>
          <w:rFonts w:ascii="宋体" w:hAnsi="宋体" w:eastAsia="宋体" w:cs="宋体"/>
          <w:spacing w:val="-51"/>
          <w:sz w:val="24"/>
          <w:szCs w:val="24"/>
        </w:rPr>
        <w:t xml:space="preserve"> </w:t>
      </w:r>
      <w:r>
        <w:rPr>
          <w:rFonts w:ascii="宋体" w:hAnsi="宋体" w:eastAsia="宋体" w:cs="宋体"/>
          <w:b/>
          <w:bCs/>
          <w:spacing w:val="-5"/>
          <w:sz w:val="24"/>
          <w:szCs w:val="24"/>
        </w:rPr>
        <w:t>报价说明：</w:t>
      </w:r>
    </w:p>
    <w:p w14:paraId="52C6F0BB">
      <w:pPr>
        <w:spacing w:before="184" w:line="218" w:lineRule="auto"/>
        <w:ind w:left="613"/>
        <w:rPr>
          <w:rFonts w:ascii="宋体" w:hAnsi="宋体" w:eastAsia="宋体" w:cs="宋体"/>
          <w:sz w:val="24"/>
          <w:szCs w:val="24"/>
        </w:rPr>
      </w:pPr>
      <w:r>
        <w:rPr>
          <w:rFonts w:ascii="宋体" w:hAnsi="宋体" w:eastAsia="宋体" w:cs="宋体"/>
          <w:spacing w:val="-1"/>
          <w:sz w:val="24"/>
          <w:szCs w:val="24"/>
        </w:rPr>
        <w:t>（1）报价表应按本</w:t>
      </w:r>
      <w:r>
        <w:rPr>
          <w:rFonts w:hint="eastAsia" w:ascii="宋体" w:hAnsi="宋体" w:eastAsia="宋体" w:cs="宋体"/>
          <w:spacing w:val="-1"/>
          <w:sz w:val="24"/>
          <w:szCs w:val="24"/>
          <w:lang w:val="en-US" w:eastAsia="zh-CN"/>
        </w:rPr>
        <w:t>采购</w:t>
      </w:r>
      <w:r>
        <w:rPr>
          <w:rFonts w:ascii="宋体" w:hAnsi="宋体" w:eastAsia="宋体" w:cs="宋体"/>
          <w:spacing w:val="-1"/>
          <w:sz w:val="24"/>
          <w:szCs w:val="24"/>
        </w:rPr>
        <w:t>文件规定的格式填写。</w:t>
      </w:r>
    </w:p>
    <w:p w14:paraId="68F1AFCE">
      <w:pPr>
        <w:spacing w:before="184" w:line="218" w:lineRule="auto"/>
        <w:ind w:left="613"/>
        <w:rPr>
          <w:rFonts w:ascii="宋体" w:hAnsi="宋体" w:eastAsia="宋体" w:cs="宋体"/>
          <w:sz w:val="24"/>
          <w:szCs w:val="24"/>
        </w:rPr>
      </w:pPr>
      <w:r>
        <w:rPr>
          <w:rFonts w:ascii="宋体" w:hAnsi="宋体" w:eastAsia="宋体" w:cs="宋体"/>
          <w:spacing w:val="-2"/>
          <w:sz w:val="24"/>
          <w:szCs w:val="24"/>
        </w:rPr>
        <w:t>（2）报价币种为人民币。</w:t>
      </w:r>
    </w:p>
    <w:p w14:paraId="63961CE4">
      <w:pPr>
        <w:spacing w:before="184" w:line="218" w:lineRule="auto"/>
        <w:ind w:left="613"/>
        <w:rPr>
          <w:rFonts w:ascii="宋体" w:hAnsi="宋体" w:eastAsia="宋体" w:cs="宋体"/>
          <w:sz w:val="24"/>
          <w:szCs w:val="24"/>
        </w:rPr>
      </w:pPr>
      <w:r>
        <w:rPr>
          <w:rFonts w:ascii="宋体" w:hAnsi="宋体" w:eastAsia="宋体" w:cs="宋体"/>
          <w:spacing w:val="-1"/>
          <w:sz w:val="24"/>
          <w:szCs w:val="24"/>
        </w:rPr>
        <w:t>（3）如果按单价计算的结果与总价不一致，以单价为准修正总价。</w:t>
      </w:r>
    </w:p>
    <w:p w14:paraId="6D12D3C0">
      <w:pPr>
        <w:spacing w:before="184" w:line="290" w:lineRule="auto"/>
        <w:ind w:left="122" w:right="655" w:firstLine="491"/>
        <w:rPr>
          <w:rFonts w:ascii="宋体" w:hAnsi="宋体" w:eastAsia="宋体" w:cs="宋体"/>
          <w:sz w:val="24"/>
          <w:szCs w:val="24"/>
        </w:rPr>
      </w:pPr>
      <w:r>
        <w:rPr>
          <w:rFonts w:ascii="宋体" w:hAnsi="宋体" w:eastAsia="宋体" w:cs="宋体"/>
          <w:spacing w:val="-1"/>
          <w:sz w:val="24"/>
          <w:szCs w:val="24"/>
        </w:rPr>
        <w:t>（4）报价清单中有计算或汇总中的算术错误时，将按</w:t>
      </w:r>
      <w:r>
        <w:rPr>
          <w:rFonts w:hint="eastAsia" w:ascii="宋体" w:hAnsi="宋体" w:eastAsia="宋体" w:cs="宋体"/>
          <w:spacing w:val="-1"/>
          <w:sz w:val="24"/>
          <w:szCs w:val="24"/>
          <w:lang w:val="en-US" w:eastAsia="zh-CN"/>
        </w:rPr>
        <w:t>采购</w:t>
      </w:r>
      <w:r>
        <w:rPr>
          <w:rFonts w:ascii="宋体" w:hAnsi="宋体" w:eastAsia="宋体" w:cs="宋体"/>
          <w:spacing w:val="-1"/>
          <w:sz w:val="24"/>
          <w:szCs w:val="24"/>
        </w:rPr>
        <w:t>须知中有关规定</w:t>
      </w:r>
      <w:r>
        <w:rPr>
          <w:rFonts w:ascii="宋体" w:hAnsi="宋体" w:eastAsia="宋体" w:cs="宋体"/>
          <w:spacing w:val="11"/>
          <w:sz w:val="24"/>
          <w:szCs w:val="24"/>
        </w:rPr>
        <w:t xml:space="preserve"> </w:t>
      </w:r>
      <w:r>
        <w:rPr>
          <w:rFonts w:ascii="宋体" w:hAnsi="宋体" w:eastAsia="宋体" w:cs="宋体"/>
          <w:spacing w:val="-4"/>
          <w:sz w:val="24"/>
          <w:szCs w:val="24"/>
        </w:rPr>
        <w:t>执行。</w:t>
      </w:r>
    </w:p>
    <w:p w14:paraId="465671A2">
      <w:pPr>
        <w:spacing w:before="182" w:line="290" w:lineRule="auto"/>
        <w:ind w:left="135" w:right="655" w:firstLine="478"/>
        <w:rPr>
          <w:rFonts w:ascii="宋体" w:hAnsi="宋体" w:eastAsia="宋体" w:cs="宋体"/>
          <w:sz w:val="24"/>
          <w:szCs w:val="24"/>
        </w:rPr>
      </w:pPr>
      <w:r>
        <w:rPr>
          <w:rFonts w:ascii="宋体" w:hAnsi="宋体" w:eastAsia="宋体" w:cs="宋体"/>
          <w:spacing w:val="-1"/>
          <w:sz w:val="24"/>
          <w:szCs w:val="24"/>
        </w:rPr>
        <w:t>（5）报价中包含货物从工厂运至规定的交货地点的运输费、装卸费、保险</w:t>
      </w:r>
      <w:r>
        <w:rPr>
          <w:rFonts w:ascii="宋体" w:hAnsi="宋体" w:eastAsia="宋体" w:cs="宋体"/>
          <w:spacing w:val="11"/>
          <w:sz w:val="24"/>
          <w:szCs w:val="24"/>
        </w:rPr>
        <w:t xml:space="preserve"> </w:t>
      </w:r>
      <w:r>
        <w:rPr>
          <w:rFonts w:ascii="宋体" w:hAnsi="宋体" w:eastAsia="宋体" w:cs="宋体"/>
          <w:spacing w:val="-2"/>
          <w:sz w:val="24"/>
          <w:szCs w:val="24"/>
        </w:rPr>
        <w:t>费、</w:t>
      </w:r>
      <w:r>
        <w:rPr>
          <w:rFonts w:hint="eastAsia" w:ascii="宋体" w:hAnsi="宋体" w:eastAsia="宋体" w:cs="宋体"/>
          <w:spacing w:val="-2"/>
          <w:sz w:val="24"/>
          <w:szCs w:val="24"/>
          <w:lang w:val="en-US" w:eastAsia="zh-CN"/>
        </w:rPr>
        <w:t>安装费、解决村民纠纷所产生费用</w:t>
      </w:r>
      <w:r>
        <w:rPr>
          <w:rFonts w:ascii="宋体" w:hAnsi="宋体" w:eastAsia="宋体" w:cs="宋体"/>
          <w:spacing w:val="-2"/>
          <w:sz w:val="24"/>
          <w:szCs w:val="24"/>
        </w:rPr>
        <w:t>等所有费用。</w:t>
      </w:r>
    </w:p>
    <w:p w14:paraId="3B9C64BD">
      <w:pPr>
        <w:spacing w:before="182" w:line="290" w:lineRule="auto"/>
        <w:ind w:left="121" w:right="655" w:firstLine="492"/>
        <w:rPr>
          <w:rFonts w:ascii="宋体" w:hAnsi="宋体" w:eastAsia="宋体" w:cs="宋体"/>
          <w:sz w:val="24"/>
          <w:szCs w:val="24"/>
        </w:rPr>
      </w:pPr>
      <w:r>
        <w:rPr>
          <w:rFonts w:ascii="宋体" w:hAnsi="宋体" w:eastAsia="宋体" w:cs="宋体"/>
          <w:spacing w:val="-1"/>
          <w:sz w:val="24"/>
          <w:szCs w:val="24"/>
        </w:rPr>
        <w:t>（6）本项目为固定总价项目，合同价格包括完成项目所需的各种费用，且</w:t>
      </w:r>
      <w:r>
        <w:rPr>
          <w:rFonts w:ascii="宋体" w:hAnsi="宋体" w:eastAsia="宋体" w:cs="宋体"/>
          <w:spacing w:val="11"/>
          <w:sz w:val="24"/>
          <w:szCs w:val="24"/>
        </w:rPr>
        <w:t xml:space="preserve"> </w:t>
      </w:r>
      <w:r>
        <w:rPr>
          <w:rFonts w:ascii="宋体" w:hAnsi="宋体" w:eastAsia="宋体" w:cs="宋体"/>
          <w:spacing w:val="-1"/>
          <w:sz w:val="24"/>
          <w:szCs w:val="24"/>
        </w:rPr>
        <w:t>在合同执行过程中不作任何调整。</w:t>
      </w:r>
    </w:p>
    <w:p w14:paraId="5BE30291">
      <w:pPr>
        <w:spacing w:before="183" w:line="218" w:lineRule="auto"/>
        <w:ind w:left="680"/>
        <w:rPr>
          <w:rFonts w:ascii="宋体" w:hAnsi="宋体" w:eastAsia="宋体" w:cs="宋体"/>
          <w:sz w:val="24"/>
          <w:szCs w:val="24"/>
        </w:rPr>
      </w:pPr>
      <w:r>
        <w:rPr>
          <w:rFonts w:ascii="宋体" w:hAnsi="宋体" w:eastAsia="宋体" w:cs="宋体"/>
          <w:spacing w:val="-1"/>
          <w:sz w:val="24"/>
          <w:szCs w:val="24"/>
        </w:rPr>
        <w:t>（7）若</w:t>
      </w:r>
      <w:r>
        <w:rPr>
          <w:rFonts w:hint="eastAsia" w:ascii="宋体" w:hAnsi="宋体" w:eastAsia="宋体" w:cs="宋体"/>
          <w:spacing w:val="-1"/>
          <w:sz w:val="24"/>
          <w:szCs w:val="24"/>
          <w:lang w:val="en-US" w:eastAsia="zh-CN"/>
        </w:rPr>
        <w:t>供应商</w:t>
      </w:r>
      <w:r>
        <w:rPr>
          <w:rFonts w:ascii="宋体" w:hAnsi="宋体" w:eastAsia="宋体" w:cs="宋体"/>
          <w:spacing w:val="-1"/>
          <w:sz w:val="24"/>
          <w:szCs w:val="24"/>
        </w:rPr>
        <w:t>对某些项目未报价，则应认为已包括在总报价内。</w:t>
      </w:r>
    </w:p>
    <w:p w14:paraId="18FC46D8">
      <w:pPr>
        <w:spacing w:before="184" w:line="218" w:lineRule="auto"/>
        <w:ind w:left="613"/>
        <w:rPr>
          <w:rFonts w:ascii="宋体" w:hAnsi="宋体" w:eastAsia="宋体" w:cs="宋体"/>
          <w:sz w:val="24"/>
          <w:szCs w:val="24"/>
        </w:rPr>
      </w:pPr>
      <w:r>
        <w:rPr>
          <w:rFonts w:ascii="宋体" w:hAnsi="宋体" w:eastAsia="宋体" w:cs="宋体"/>
          <w:spacing w:val="-1"/>
          <w:sz w:val="24"/>
          <w:szCs w:val="24"/>
        </w:rPr>
        <w:t>（8）报价为含增值税专用发票价格（以人民币报价的</w:t>
      </w:r>
      <w:r>
        <w:rPr>
          <w:rFonts w:ascii="宋体" w:hAnsi="宋体" w:eastAsia="宋体" w:cs="宋体"/>
          <w:spacing w:val="-2"/>
          <w:sz w:val="24"/>
          <w:szCs w:val="24"/>
        </w:rPr>
        <w:t>方式）。</w:t>
      </w:r>
    </w:p>
    <w:p w14:paraId="468BD673">
      <w:pPr>
        <w:pStyle w:val="7"/>
        <w:spacing w:line="267" w:lineRule="auto"/>
      </w:pPr>
    </w:p>
    <w:p w14:paraId="7A875D55">
      <w:pPr>
        <w:pStyle w:val="7"/>
        <w:spacing w:line="268" w:lineRule="auto"/>
      </w:pPr>
    </w:p>
    <w:p w14:paraId="1F8FA1A1">
      <w:pPr>
        <w:spacing w:before="78" w:line="218" w:lineRule="auto"/>
        <w:ind w:left="126"/>
        <w:rPr>
          <w:rFonts w:ascii="宋体" w:hAnsi="宋体" w:eastAsia="宋体" w:cs="宋体"/>
          <w:sz w:val="24"/>
          <w:szCs w:val="24"/>
        </w:rPr>
      </w:pPr>
      <w:r>
        <w:rPr>
          <w:rFonts w:ascii="宋体" w:hAnsi="宋体" w:eastAsia="宋体" w:cs="宋体"/>
          <w:b/>
          <w:bCs/>
          <w:spacing w:val="-6"/>
          <w:sz w:val="24"/>
          <w:szCs w:val="24"/>
        </w:rPr>
        <w:t>5.2</w:t>
      </w:r>
      <w:r>
        <w:rPr>
          <w:rFonts w:ascii="宋体" w:hAnsi="宋体" w:eastAsia="宋体" w:cs="宋体"/>
          <w:spacing w:val="-50"/>
          <w:sz w:val="24"/>
          <w:szCs w:val="24"/>
        </w:rPr>
        <w:t xml:space="preserve"> </w:t>
      </w:r>
      <w:r>
        <w:rPr>
          <w:rFonts w:ascii="宋体" w:hAnsi="宋体" w:eastAsia="宋体" w:cs="宋体"/>
          <w:b/>
          <w:bCs/>
          <w:spacing w:val="-6"/>
          <w:sz w:val="24"/>
          <w:szCs w:val="24"/>
        </w:rPr>
        <w:t>报价表</w:t>
      </w:r>
    </w:p>
    <w:p w14:paraId="4B21199D">
      <w:pPr>
        <w:spacing w:line="70" w:lineRule="exact"/>
      </w:pPr>
    </w:p>
    <w:tbl>
      <w:tblPr>
        <w:tblStyle w:val="13"/>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8"/>
        <w:gridCol w:w="1241"/>
        <w:gridCol w:w="1417"/>
        <w:gridCol w:w="2125"/>
        <w:gridCol w:w="1275"/>
        <w:gridCol w:w="1847"/>
      </w:tblGrid>
      <w:tr w14:paraId="7FD05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379" w:type="dxa"/>
            <w:gridSpan w:val="2"/>
            <w:vMerge w:val="restart"/>
            <w:tcBorders>
              <w:bottom w:val="nil"/>
            </w:tcBorders>
            <w:vAlign w:val="top"/>
          </w:tcPr>
          <w:p w14:paraId="5C67AA14">
            <w:pPr>
              <w:pStyle w:val="14"/>
              <w:spacing w:before="120" w:line="219" w:lineRule="auto"/>
              <w:ind w:left="601"/>
            </w:pPr>
            <w:r>
              <w:rPr>
                <w:spacing w:val="-3"/>
              </w:rPr>
              <w:t>项目及内容</w:t>
            </w:r>
          </w:p>
        </w:tc>
        <w:tc>
          <w:tcPr>
            <w:tcW w:w="1417" w:type="dxa"/>
            <w:vMerge w:val="restart"/>
            <w:tcBorders>
              <w:bottom w:val="nil"/>
            </w:tcBorders>
            <w:vAlign w:val="top"/>
          </w:tcPr>
          <w:p w14:paraId="255D593C">
            <w:pPr>
              <w:pStyle w:val="14"/>
              <w:spacing w:before="120" w:line="220" w:lineRule="auto"/>
              <w:ind w:left="476"/>
            </w:pPr>
            <w:r>
              <w:rPr>
                <w:spacing w:val="-6"/>
              </w:rPr>
              <w:t>单位</w:t>
            </w:r>
          </w:p>
        </w:tc>
        <w:tc>
          <w:tcPr>
            <w:tcW w:w="2125" w:type="dxa"/>
            <w:vMerge w:val="restart"/>
            <w:tcBorders>
              <w:bottom w:val="nil"/>
            </w:tcBorders>
            <w:vAlign w:val="top"/>
          </w:tcPr>
          <w:p w14:paraId="0D1E1172">
            <w:pPr>
              <w:pStyle w:val="14"/>
              <w:spacing w:before="120" w:line="219" w:lineRule="auto"/>
              <w:ind w:left="352"/>
            </w:pPr>
            <w:r>
              <w:rPr>
                <w:spacing w:val="-2"/>
              </w:rPr>
              <w:t>数量或工作量</w:t>
            </w:r>
          </w:p>
        </w:tc>
        <w:tc>
          <w:tcPr>
            <w:tcW w:w="3122" w:type="dxa"/>
            <w:gridSpan w:val="2"/>
            <w:vAlign w:val="top"/>
          </w:tcPr>
          <w:p w14:paraId="3C9E1493">
            <w:pPr>
              <w:pStyle w:val="14"/>
              <w:spacing w:before="120" w:line="214" w:lineRule="auto"/>
              <w:ind w:left="1339"/>
            </w:pPr>
            <w:r>
              <w:rPr>
                <w:spacing w:val="-12"/>
              </w:rPr>
              <w:t>费用</w:t>
            </w:r>
          </w:p>
        </w:tc>
      </w:tr>
      <w:tr w14:paraId="67B2C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379" w:type="dxa"/>
            <w:gridSpan w:val="2"/>
            <w:vMerge w:val="continue"/>
            <w:tcBorders>
              <w:top w:val="nil"/>
            </w:tcBorders>
            <w:vAlign w:val="top"/>
          </w:tcPr>
          <w:p w14:paraId="6397D3D8">
            <w:pPr>
              <w:rPr>
                <w:rFonts w:ascii="Arial"/>
                <w:sz w:val="21"/>
              </w:rPr>
            </w:pPr>
          </w:p>
        </w:tc>
        <w:tc>
          <w:tcPr>
            <w:tcW w:w="1417" w:type="dxa"/>
            <w:vMerge w:val="continue"/>
            <w:tcBorders>
              <w:top w:val="nil"/>
            </w:tcBorders>
            <w:vAlign w:val="top"/>
          </w:tcPr>
          <w:p w14:paraId="1240A12C">
            <w:pPr>
              <w:rPr>
                <w:rFonts w:ascii="Arial"/>
                <w:sz w:val="21"/>
              </w:rPr>
            </w:pPr>
          </w:p>
        </w:tc>
        <w:tc>
          <w:tcPr>
            <w:tcW w:w="2125" w:type="dxa"/>
            <w:vMerge w:val="continue"/>
            <w:tcBorders>
              <w:top w:val="nil"/>
            </w:tcBorders>
            <w:vAlign w:val="top"/>
          </w:tcPr>
          <w:p w14:paraId="2A53C9CE">
            <w:pPr>
              <w:rPr>
                <w:rFonts w:ascii="Arial"/>
                <w:sz w:val="21"/>
              </w:rPr>
            </w:pPr>
          </w:p>
        </w:tc>
        <w:tc>
          <w:tcPr>
            <w:tcW w:w="1275" w:type="dxa"/>
            <w:vAlign w:val="top"/>
          </w:tcPr>
          <w:p w14:paraId="1F3AB173">
            <w:pPr>
              <w:pStyle w:val="14"/>
              <w:spacing w:before="117" w:line="213" w:lineRule="auto"/>
              <w:jc w:val="right"/>
            </w:pPr>
            <w:r>
              <w:rPr>
                <w:spacing w:val="-11"/>
              </w:rPr>
              <w:t>单价（元）</w:t>
            </w:r>
          </w:p>
        </w:tc>
        <w:tc>
          <w:tcPr>
            <w:tcW w:w="1847" w:type="dxa"/>
            <w:vAlign w:val="top"/>
          </w:tcPr>
          <w:p w14:paraId="7AC80BEF">
            <w:pPr>
              <w:pStyle w:val="14"/>
              <w:spacing w:before="117" w:line="213" w:lineRule="auto"/>
              <w:ind w:left="331"/>
            </w:pPr>
            <w:r>
              <w:rPr>
                <w:spacing w:val="-3"/>
              </w:rPr>
              <w:t>金额（元）</w:t>
            </w:r>
          </w:p>
        </w:tc>
      </w:tr>
      <w:tr w14:paraId="51632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38" w:type="dxa"/>
            <w:vAlign w:val="top"/>
          </w:tcPr>
          <w:p w14:paraId="636A9AD1">
            <w:pPr>
              <w:pStyle w:val="14"/>
              <w:spacing w:before="152" w:line="184" w:lineRule="auto"/>
              <w:ind w:left="533"/>
            </w:pPr>
            <w:r>
              <w:t>1</w:t>
            </w:r>
          </w:p>
        </w:tc>
        <w:tc>
          <w:tcPr>
            <w:tcW w:w="1241" w:type="dxa"/>
            <w:vAlign w:val="top"/>
          </w:tcPr>
          <w:p w14:paraId="545CC120">
            <w:pPr>
              <w:rPr>
                <w:rFonts w:ascii="Arial"/>
                <w:sz w:val="21"/>
              </w:rPr>
            </w:pPr>
          </w:p>
        </w:tc>
        <w:tc>
          <w:tcPr>
            <w:tcW w:w="1417" w:type="dxa"/>
            <w:vAlign w:val="top"/>
          </w:tcPr>
          <w:p w14:paraId="025363D1">
            <w:pPr>
              <w:rPr>
                <w:rFonts w:ascii="Arial"/>
                <w:sz w:val="21"/>
              </w:rPr>
            </w:pPr>
          </w:p>
        </w:tc>
        <w:tc>
          <w:tcPr>
            <w:tcW w:w="2125" w:type="dxa"/>
            <w:vAlign w:val="top"/>
          </w:tcPr>
          <w:p w14:paraId="215F67C9">
            <w:pPr>
              <w:rPr>
                <w:rFonts w:ascii="Arial"/>
                <w:sz w:val="21"/>
              </w:rPr>
            </w:pPr>
          </w:p>
        </w:tc>
        <w:tc>
          <w:tcPr>
            <w:tcW w:w="1275" w:type="dxa"/>
            <w:vAlign w:val="top"/>
          </w:tcPr>
          <w:p w14:paraId="0EF8DDB8">
            <w:pPr>
              <w:rPr>
                <w:rFonts w:ascii="Arial"/>
                <w:sz w:val="21"/>
              </w:rPr>
            </w:pPr>
          </w:p>
        </w:tc>
        <w:tc>
          <w:tcPr>
            <w:tcW w:w="1847" w:type="dxa"/>
            <w:vAlign w:val="top"/>
          </w:tcPr>
          <w:p w14:paraId="75D0F23E">
            <w:pPr>
              <w:rPr>
                <w:rFonts w:ascii="Arial"/>
                <w:sz w:val="21"/>
              </w:rPr>
            </w:pPr>
          </w:p>
        </w:tc>
      </w:tr>
      <w:tr w14:paraId="36C45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38" w:type="dxa"/>
            <w:vAlign w:val="top"/>
          </w:tcPr>
          <w:p w14:paraId="770F8E80">
            <w:pPr>
              <w:pStyle w:val="14"/>
              <w:spacing w:before="154" w:line="183" w:lineRule="auto"/>
              <w:ind w:left="518"/>
            </w:pPr>
            <w:r>
              <w:t>2</w:t>
            </w:r>
          </w:p>
        </w:tc>
        <w:tc>
          <w:tcPr>
            <w:tcW w:w="1241" w:type="dxa"/>
            <w:vAlign w:val="top"/>
          </w:tcPr>
          <w:p w14:paraId="793902CB">
            <w:pPr>
              <w:rPr>
                <w:rFonts w:ascii="Arial"/>
                <w:sz w:val="21"/>
              </w:rPr>
            </w:pPr>
          </w:p>
        </w:tc>
        <w:tc>
          <w:tcPr>
            <w:tcW w:w="1417" w:type="dxa"/>
            <w:vAlign w:val="top"/>
          </w:tcPr>
          <w:p w14:paraId="56E9BF0C">
            <w:pPr>
              <w:rPr>
                <w:rFonts w:ascii="Arial"/>
                <w:sz w:val="21"/>
              </w:rPr>
            </w:pPr>
          </w:p>
        </w:tc>
        <w:tc>
          <w:tcPr>
            <w:tcW w:w="2125" w:type="dxa"/>
            <w:vAlign w:val="top"/>
          </w:tcPr>
          <w:p w14:paraId="62D75893">
            <w:pPr>
              <w:rPr>
                <w:rFonts w:ascii="Arial"/>
                <w:sz w:val="21"/>
              </w:rPr>
            </w:pPr>
          </w:p>
        </w:tc>
        <w:tc>
          <w:tcPr>
            <w:tcW w:w="1275" w:type="dxa"/>
            <w:vAlign w:val="top"/>
          </w:tcPr>
          <w:p w14:paraId="30F6083A">
            <w:pPr>
              <w:rPr>
                <w:rFonts w:ascii="Arial"/>
                <w:sz w:val="21"/>
              </w:rPr>
            </w:pPr>
          </w:p>
        </w:tc>
        <w:tc>
          <w:tcPr>
            <w:tcW w:w="1847" w:type="dxa"/>
            <w:vAlign w:val="top"/>
          </w:tcPr>
          <w:p w14:paraId="1F581A69">
            <w:pPr>
              <w:rPr>
                <w:rFonts w:ascii="Arial"/>
                <w:sz w:val="21"/>
              </w:rPr>
            </w:pPr>
          </w:p>
        </w:tc>
      </w:tr>
      <w:tr w14:paraId="67A9F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8" w:type="dxa"/>
            <w:vAlign w:val="top"/>
          </w:tcPr>
          <w:p w14:paraId="64B53801">
            <w:pPr>
              <w:pStyle w:val="14"/>
              <w:spacing w:before="156" w:line="183" w:lineRule="auto"/>
              <w:ind w:left="520"/>
            </w:pPr>
            <w:r>
              <w:t>3</w:t>
            </w:r>
          </w:p>
        </w:tc>
        <w:tc>
          <w:tcPr>
            <w:tcW w:w="1241" w:type="dxa"/>
            <w:vAlign w:val="top"/>
          </w:tcPr>
          <w:p w14:paraId="4AEE0F2A">
            <w:pPr>
              <w:rPr>
                <w:rFonts w:ascii="Arial"/>
                <w:sz w:val="21"/>
              </w:rPr>
            </w:pPr>
          </w:p>
        </w:tc>
        <w:tc>
          <w:tcPr>
            <w:tcW w:w="1417" w:type="dxa"/>
            <w:vAlign w:val="top"/>
          </w:tcPr>
          <w:p w14:paraId="367184C8">
            <w:pPr>
              <w:rPr>
                <w:rFonts w:ascii="Arial"/>
                <w:sz w:val="21"/>
              </w:rPr>
            </w:pPr>
          </w:p>
        </w:tc>
        <w:tc>
          <w:tcPr>
            <w:tcW w:w="2125" w:type="dxa"/>
            <w:vAlign w:val="top"/>
          </w:tcPr>
          <w:p w14:paraId="109A87EE">
            <w:pPr>
              <w:rPr>
                <w:rFonts w:ascii="Arial"/>
                <w:sz w:val="21"/>
              </w:rPr>
            </w:pPr>
          </w:p>
        </w:tc>
        <w:tc>
          <w:tcPr>
            <w:tcW w:w="1275" w:type="dxa"/>
            <w:vAlign w:val="top"/>
          </w:tcPr>
          <w:p w14:paraId="17BD7E8D">
            <w:pPr>
              <w:rPr>
                <w:rFonts w:ascii="Arial"/>
                <w:sz w:val="21"/>
              </w:rPr>
            </w:pPr>
          </w:p>
        </w:tc>
        <w:tc>
          <w:tcPr>
            <w:tcW w:w="1847" w:type="dxa"/>
            <w:vAlign w:val="top"/>
          </w:tcPr>
          <w:p w14:paraId="18A0A303">
            <w:pPr>
              <w:rPr>
                <w:rFonts w:ascii="Arial"/>
                <w:sz w:val="21"/>
              </w:rPr>
            </w:pPr>
          </w:p>
        </w:tc>
      </w:tr>
      <w:tr w14:paraId="43329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8" w:type="dxa"/>
            <w:vAlign w:val="top"/>
          </w:tcPr>
          <w:p w14:paraId="3EA56C37">
            <w:pPr>
              <w:rPr>
                <w:rFonts w:ascii="Arial"/>
                <w:sz w:val="21"/>
              </w:rPr>
            </w:pPr>
          </w:p>
        </w:tc>
        <w:tc>
          <w:tcPr>
            <w:tcW w:w="1241" w:type="dxa"/>
            <w:vAlign w:val="top"/>
          </w:tcPr>
          <w:p w14:paraId="3580B29D">
            <w:pPr>
              <w:rPr>
                <w:rFonts w:ascii="Arial"/>
                <w:sz w:val="21"/>
              </w:rPr>
            </w:pPr>
          </w:p>
        </w:tc>
        <w:tc>
          <w:tcPr>
            <w:tcW w:w="1417" w:type="dxa"/>
            <w:vAlign w:val="top"/>
          </w:tcPr>
          <w:p w14:paraId="419B2D80">
            <w:pPr>
              <w:rPr>
                <w:rFonts w:ascii="Arial"/>
                <w:sz w:val="21"/>
              </w:rPr>
            </w:pPr>
          </w:p>
        </w:tc>
        <w:tc>
          <w:tcPr>
            <w:tcW w:w="2125" w:type="dxa"/>
            <w:vAlign w:val="top"/>
          </w:tcPr>
          <w:p w14:paraId="7C0AF664">
            <w:pPr>
              <w:rPr>
                <w:rFonts w:ascii="Arial"/>
                <w:sz w:val="21"/>
              </w:rPr>
            </w:pPr>
          </w:p>
        </w:tc>
        <w:tc>
          <w:tcPr>
            <w:tcW w:w="1275" w:type="dxa"/>
            <w:vAlign w:val="top"/>
          </w:tcPr>
          <w:p w14:paraId="7A60CA8C">
            <w:pPr>
              <w:rPr>
                <w:rFonts w:ascii="Arial"/>
                <w:sz w:val="21"/>
              </w:rPr>
            </w:pPr>
          </w:p>
        </w:tc>
        <w:tc>
          <w:tcPr>
            <w:tcW w:w="1847" w:type="dxa"/>
            <w:vAlign w:val="top"/>
          </w:tcPr>
          <w:p w14:paraId="2691D1A7">
            <w:pPr>
              <w:rPr>
                <w:rFonts w:ascii="Arial"/>
                <w:sz w:val="21"/>
              </w:rPr>
            </w:pPr>
          </w:p>
        </w:tc>
      </w:tr>
      <w:tr w14:paraId="071DB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8" w:type="dxa"/>
            <w:vAlign w:val="top"/>
          </w:tcPr>
          <w:p w14:paraId="1C533D6C">
            <w:pPr>
              <w:pStyle w:val="14"/>
              <w:spacing w:before="119" w:line="212" w:lineRule="auto"/>
              <w:ind w:left="336"/>
            </w:pPr>
            <w:r>
              <w:rPr>
                <w:spacing w:val="-6"/>
              </w:rPr>
              <w:t>合计</w:t>
            </w:r>
          </w:p>
        </w:tc>
        <w:tc>
          <w:tcPr>
            <w:tcW w:w="1241" w:type="dxa"/>
            <w:vAlign w:val="top"/>
          </w:tcPr>
          <w:p w14:paraId="6585B81A">
            <w:pPr>
              <w:rPr>
                <w:rFonts w:ascii="Arial"/>
                <w:sz w:val="21"/>
              </w:rPr>
            </w:pPr>
          </w:p>
        </w:tc>
        <w:tc>
          <w:tcPr>
            <w:tcW w:w="1417" w:type="dxa"/>
            <w:vAlign w:val="top"/>
          </w:tcPr>
          <w:p w14:paraId="486C32EC">
            <w:pPr>
              <w:rPr>
                <w:rFonts w:ascii="Arial"/>
                <w:sz w:val="21"/>
              </w:rPr>
            </w:pPr>
          </w:p>
        </w:tc>
        <w:tc>
          <w:tcPr>
            <w:tcW w:w="2125" w:type="dxa"/>
            <w:vAlign w:val="top"/>
          </w:tcPr>
          <w:p w14:paraId="015F3E46">
            <w:pPr>
              <w:rPr>
                <w:rFonts w:ascii="Arial"/>
                <w:sz w:val="21"/>
              </w:rPr>
            </w:pPr>
          </w:p>
        </w:tc>
        <w:tc>
          <w:tcPr>
            <w:tcW w:w="1275" w:type="dxa"/>
            <w:vAlign w:val="top"/>
          </w:tcPr>
          <w:p w14:paraId="0C24058D">
            <w:pPr>
              <w:rPr>
                <w:rFonts w:ascii="Arial"/>
                <w:sz w:val="21"/>
              </w:rPr>
            </w:pPr>
          </w:p>
        </w:tc>
        <w:tc>
          <w:tcPr>
            <w:tcW w:w="1847" w:type="dxa"/>
            <w:vAlign w:val="top"/>
          </w:tcPr>
          <w:p w14:paraId="6E1720A0">
            <w:pPr>
              <w:rPr>
                <w:rFonts w:ascii="Arial"/>
                <w:sz w:val="21"/>
              </w:rPr>
            </w:pPr>
          </w:p>
        </w:tc>
      </w:tr>
      <w:tr w14:paraId="75B83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043" w:type="dxa"/>
            <w:gridSpan w:val="6"/>
            <w:vAlign w:val="top"/>
          </w:tcPr>
          <w:p w14:paraId="49764061">
            <w:pPr>
              <w:pStyle w:val="14"/>
              <w:spacing w:before="78" w:line="221" w:lineRule="auto"/>
              <w:ind w:left="720"/>
              <w:outlineLvl w:val="0"/>
            </w:pPr>
            <w:r>
              <w:rPr>
                <w:spacing w:val="-7"/>
              </w:rPr>
              <w:t>备注</w:t>
            </w:r>
          </w:p>
        </w:tc>
      </w:tr>
      <w:tr w14:paraId="4F89B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38" w:type="dxa"/>
            <w:vAlign w:val="top"/>
          </w:tcPr>
          <w:p w14:paraId="1F7AA900">
            <w:pPr>
              <w:rPr>
                <w:rFonts w:ascii="Arial"/>
                <w:sz w:val="21"/>
              </w:rPr>
            </w:pPr>
          </w:p>
        </w:tc>
        <w:tc>
          <w:tcPr>
            <w:tcW w:w="7905" w:type="dxa"/>
            <w:gridSpan w:val="5"/>
            <w:vAlign w:val="top"/>
          </w:tcPr>
          <w:p w14:paraId="1ECF7CE1">
            <w:pPr>
              <w:pStyle w:val="14"/>
              <w:spacing w:before="120" w:line="214" w:lineRule="auto"/>
              <w:ind w:left="112"/>
            </w:pPr>
            <w:r>
              <w:t>合计人民币金额：￥     （含    %增</w:t>
            </w:r>
            <w:r>
              <w:rPr>
                <w:spacing w:val="-1"/>
              </w:rPr>
              <w:t>值税，大写      ）</w:t>
            </w:r>
          </w:p>
        </w:tc>
      </w:tr>
    </w:tbl>
    <w:p w14:paraId="6FB5CE77">
      <w:pPr>
        <w:pStyle w:val="7"/>
        <w:spacing w:line="464" w:lineRule="auto"/>
      </w:pPr>
    </w:p>
    <w:p w14:paraId="38E09A4F">
      <w:pPr>
        <w:spacing w:before="78" w:line="219" w:lineRule="auto"/>
        <w:ind w:left="4682"/>
        <w:rPr>
          <w:rFonts w:ascii="宋体" w:hAnsi="宋体" w:eastAsia="宋体" w:cs="宋体"/>
          <w:sz w:val="24"/>
          <w:szCs w:val="24"/>
        </w:rPr>
      </w:pP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pacing w:val="3"/>
          <w:sz w:val="24"/>
          <w:szCs w:val="24"/>
        </w:rPr>
        <w:t>盖单位章）</w:t>
      </w:r>
    </w:p>
    <w:p w14:paraId="2C1B34AB">
      <w:pPr>
        <w:spacing w:before="183" w:line="347" w:lineRule="auto"/>
        <w:ind w:left="7083" w:right="530" w:hanging="2400"/>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pacing w:val="-42"/>
          <w:w w:val="66"/>
          <w:sz w:val="24"/>
          <w:szCs w:val="24"/>
        </w:rPr>
        <w:t>：（</w:t>
      </w:r>
      <w:r>
        <w:rPr>
          <w:rFonts w:ascii="宋体" w:hAnsi="宋体" w:eastAsia="宋体" w:cs="宋体"/>
          <w:sz w:val="24"/>
          <w:szCs w:val="24"/>
        </w:rPr>
        <w:t>签字）</w:t>
      </w:r>
      <w:r>
        <w:rPr>
          <w:rFonts w:ascii="宋体" w:hAnsi="宋体" w:eastAsia="宋体" w:cs="宋体"/>
          <w:spacing w:val="1"/>
          <w:sz w:val="24"/>
          <w:szCs w:val="24"/>
        </w:rPr>
        <w:t xml:space="preserve"> </w:t>
      </w: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76CE7043">
      <w:pPr>
        <w:spacing w:line="347" w:lineRule="auto"/>
        <w:rPr>
          <w:rFonts w:ascii="宋体" w:hAnsi="宋体" w:eastAsia="宋体" w:cs="宋体"/>
          <w:sz w:val="24"/>
          <w:szCs w:val="24"/>
        </w:rPr>
        <w:sectPr>
          <w:footerReference r:id="rId19" w:type="default"/>
          <w:pgSz w:w="11906" w:h="16839"/>
          <w:pgMar w:top="1431" w:right="1170" w:bottom="1156" w:left="1687" w:header="0" w:footer="994" w:gutter="0"/>
          <w:cols w:space="720" w:num="1"/>
        </w:sectPr>
      </w:pPr>
    </w:p>
    <w:p w14:paraId="7C2F525B">
      <w:pPr>
        <w:pStyle w:val="7"/>
        <w:spacing w:line="312" w:lineRule="auto"/>
      </w:pPr>
    </w:p>
    <w:p w14:paraId="45CCA97A">
      <w:pPr>
        <w:spacing w:before="143" w:line="228" w:lineRule="auto"/>
        <w:ind w:left="125"/>
        <w:rPr>
          <w:rFonts w:ascii="宋体" w:hAnsi="宋体" w:eastAsia="宋体" w:cs="宋体"/>
          <w:sz w:val="19"/>
          <w:szCs w:val="19"/>
        </w:rPr>
      </w:pPr>
      <w:r>
        <w:rPr>
          <w:rFonts w:ascii="宋体" w:hAnsi="宋体" w:eastAsia="宋体" w:cs="宋体"/>
          <w:spacing w:val="8"/>
          <w:sz w:val="19"/>
          <w:szCs w:val="19"/>
        </w:rPr>
        <w:t>7、商务或技术偏差表</w:t>
      </w:r>
    </w:p>
    <w:p w14:paraId="48AFC5BB">
      <w:pPr>
        <w:spacing w:before="294" w:line="219" w:lineRule="auto"/>
        <w:ind w:left="3316"/>
        <w:rPr>
          <w:rFonts w:ascii="宋体" w:hAnsi="宋体" w:eastAsia="宋体" w:cs="宋体"/>
          <w:sz w:val="24"/>
          <w:szCs w:val="24"/>
        </w:rPr>
      </w:pPr>
      <w:r>
        <w:rPr>
          <w:rFonts w:ascii="宋体" w:hAnsi="宋体" w:eastAsia="宋体" w:cs="宋体"/>
          <w:b/>
          <w:bCs/>
          <w:spacing w:val="-4"/>
          <w:sz w:val="24"/>
          <w:szCs w:val="24"/>
        </w:rPr>
        <w:t>商务或技术偏差表</w:t>
      </w:r>
    </w:p>
    <w:p w14:paraId="31AE9E8F">
      <w:pPr>
        <w:spacing w:line="67" w:lineRule="exact"/>
      </w:pPr>
    </w:p>
    <w:tbl>
      <w:tblPr>
        <w:tblStyle w:val="13"/>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
        <w:gridCol w:w="1330"/>
        <w:gridCol w:w="991"/>
        <w:gridCol w:w="2550"/>
        <w:gridCol w:w="1984"/>
        <w:gridCol w:w="1421"/>
      </w:tblGrid>
      <w:tr w14:paraId="214B7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8" w:type="dxa"/>
            <w:vMerge w:val="restart"/>
            <w:tcBorders>
              <w:bottom w:val="nil"/>
            </w:tcBorders>
            <w:vAlign w:val="top"/>
          </w:tcPr>
          <w:p w14:paraId="2E19E312">
            <w:pPr>
              <w:spacing w:line="276" w:lineRule="auto"/>
              <w:rPr>
                <w:rFonts w:ascii="Arial"/>
                <w:sz w:val="21"/>
              </w:rPr>
            </w:pPr>
          </w:p>
          <w:p w14:paraId="1D5D9C6F">
            <w:pPr>
              <w:spacing w:line="276" w:lineRule="auto"/>
              <w:rPr>
                <w:rFonts w:ascii="Arial"/>
                <w:sz w:val="21"/>
              </w:rPr>
            </w:pPr>
          </w:p>
          <w:p w14:paraId="0B434AA0">
            <w:pPr>
              <w:spacing w:line="276" w:lineRule="auto"/>
              <w:rPr>
                <w:rFonts w:ascii="Arial"/>
                <w:sz w:val="21"/>
              </w:rPr>
            </w:pPr>
          </w:p>
          <w:p w14:paraId="055C9E3D">
            <w:pPr>
              <w:spacing w:before="78" w:line="354" w:lineRule="auto"/>
              <w:ind w:left="220" w:right="219" w:firstLine="7"/>
              <w:jc w:val="both"/>
              <w:rPr>
                <w:rFonts w:ascii="仿宋" w:hAnsi="仿宋" w:eastAsia="仿宋" w:cs="仿宋"/>
                <w:sz w:val="24"/>
                <w:szCs w:val="24"/>
              </w:rPr>
            </w:pPr>
            <w:r>
              <w:rPr>
                <w:rFonts w:ascii="仿宋" w:hAnsi="仿宋" w:eastAsia="仿宋" w:cs="仿宋"/>
                <w:spacing w:val="-13"/>
                <w:sz w:val="24"/>
                <w:szCs w:val="24"/>
              </w:rPr>
              <w:t>商务</w:t>
            </w:r>
            <w:r>
              <w:rPr>
                <w:rFonts w:ascii="仿宋" w:hAnsi="仿宋" w:eastAsia="仿宋" w:cs="仿宋"/>
                <w:sz w:val="24"/>
                <w:szCs w:val="24"/>
              </w:rPr>
              <w:t xml:space="preserve"> </w:t>
            </w:r>
            <w:r>
              <w:rPr>
                <w:rFonts w:ascii="仿宋" w:hAnsi="仿宋" w:eastAsia="仿宋" w:cs="仿宋"/>
                <w:spacing w:val="-9"/>
                <w:sz w:val="24"/>
                <w:szCs w:val="24"/>
              </w:rPr>
              <w:t>或技</w:t>
            </w:r>
            <w:r>
              <w:rPr>
                <w:rFonts w:ascii="仿宋" w:hAnsi="仿宋" w:eastAsia="仿宋" w:cs="仿宋"/>
                <w:sz w:val="24"/>
                <w:szCs w:val="24"/>
              </w:rPr>
              <w:t xml:space="preserve"> </w:t>
            </w:r>
            <w:r>
              <w:rPr>
                <w:rFonts w:ascii="仿宋" w:hAnsi="仿宋" w:eastAsia="仿宋" w:cs="仿宋"/>
                <w:spacing w:val="-9"/>
                <w:sz w:val="24"/>
                <w:szCs w:val="24"/>
              </w:rPr>
              <w:t>术偏</w:t>
            </w:r>
            <w:r>
              <w:rPr>
                <w:rFonts w:ascii="仿宋" w:hAnsi="仿宋" w:eastAsia="仿宋" w:cs="仿宋"/>
                <w:sz w:val="24"/>
                <w:szCs w:val="24"/>
              </w:rPr>
              <w:t xml:space="preserve"> </w:t>
            </w:r>
            <w:r>
              <w:rPr>
                <w:rFonts w:ascii="仿宋" w:hAnsi="仿宋" w:eastAsia="仿宋" w:cs="仿宋"/>
                <w:spacing w:val="43"/>
                <w:w w:val="125"/>
                <w:sz w:val="24"/>
                <w:szCs w:val="24"/>
              </w:rPr>
              <w:t>差</w:t>
            </w:r>
          </w:p>
        </w:tc>
        <w:tc>
          <w:tcPr>
            <w:tcW w:w="1330" w:type="dxa"/>
            <w:vAlign w:val="top"/>
          </w:tcPr>
          <w:p w14:paraId="6AE4FE7A">
            <w:pPr>
              <w:spacing w:before="167" w:line="224" w:lineRule="auto"/>
              <w:ind w:left="432"/>
              <w:rPr>
                <w:rFonts w:ascii="仿宋" w:hAnsi="仿宋" w:eastAsia="仿宋" w:cs="仿宋"/>
                <w:sz w:val="24"/>
                <w:szCs w:val="24"/>
              </w:rPr>
            </w:pPr>
            <w:r>
              <w:rPr>
                <w:rFonts w:ascii="仿宋" w:hAnsi="仿宋" w:eastAsia="仿宋" w:cs="仿宋"/>
                <w:spacing w:val="-10"/>
                <w:sz w:val="24"/>
                <w:szCs w:val="24"/>
              </w:rPr>
              <w:t>条目</w:t>
            </w:r>
          </w:p>
        </w:tc>
        <w:tc>
          <w:tcPr>
            <w:tcW w:w="991" w:type="dxa"/>
            <w:vAlign w:val="top"/>
          </w:tcPr>
          <w:p w14:paraId="26DAE58E">
            <w:pPr>
              <w:spacing w:before="167" w:line="224" w:lineRule="auto"/>
              <w:ind w:left="273"/>
              <w:rPr>
                <w:rFonts w:ascii="仿宋" w:hAnsi="仿宋" w:eastAsia="仿宋" w:cs="仿宋"/>
                <w:sz w:val="24"/>
                <w:szCs w:val="24"/>
              </w:rPr>
            </w:pPr>
            <w:r>
              <w:rPr>
                <w:rFonts w:ascii="仿宋" w:hAnsi="仿宋" w:eastAsia="仿宋" w:cs="仿宋"/>
                <w:spacing w:val="-15"/>
                <w:sz w:val="24"/>
                <w:szCs w:val="24"/>
              </w:rPr>
              <w:t>页码</w:t>
            </w:r>
          </w:p>
        </w:tc>
        <w:tc>
          <w:tcPr>
            <w:tcW w:w="2550" w:type="dxa"/>
            <w:vAlign w:val="top"/>
          </w:tcPr>
          <w:p w14:paraId="14814B2A">
            <w:pPr>
              <w:spacing w:before="168" w:line="222" w:lineRule="auto"/>
              <w:ind w:left="561"/>
              <w:rPr>
                <w:rFonts w:ascii="仿宋" w:hAnsi="仿宋" w:eastAsia="仿宋" w:cs="仿宋"/>
                <w:sz w:val="24"/>
                <w:szCs w:val="24"/>
              </w:rPr>
            </w:pPr>
            <w:r>
              <w:rPr>
                <w:rFonts w:hint="eastAsia" w:ascii="仿宋" w:hAnsi="仿宋" w:eastAsia="仿宋" w:cs="仿宋"/>
                <w:spacing w:val="-3"/>
                <w:sz w:val="24"/>
                <w:szCs w:val="24"/>
                <w:lang w:val="en-US" w:eastAsia="zh-CN"/>
              </w:rPr>
              <w:t>采购</w:t>
            </w:r>
            <w:r>
              <w:rPr>
                <w:rFonts w:ascii="仿宋" w:hAnsi="仿宋" w:eastAsia="仿宋" w:cs="仿宋"/>
                <w:spacing w:val="-3"/>
                <w:sz w:val="24"/>
                <w:szCs w:val="24"/>
              </w:rPr>
              <w:t>文件规定</w:t>
            </w:r>
          </w:p>
        </w:tc>
        <w:tc>
          <w:tcPr>
            <w:tcW w:w="1984" w:type="dxa"/>
            <w:vAlign w:val="top"/>
          </w:tcPr>
          <w:p w14:paraId="510D8F04">
            <w:pPr>
              <w:spacing w:before="168" w:line="223" w:lineRule="auto"/>
              <w:ind w:left="760"/>
              <w:rPr>
                <w:rFonts w:ascii="仿宋" w:hAnsi="仿宋" w:eastAsia="仿宋" w:cs="仿宋"/>
                <w:sz w:val="24"/>
                <w:szCs w:val="24"/>
              </w:rPr>
            </w:pPr>
            <w:r>
              <w:rPr>
                <w:rFonts w:ascii="仿宋" w:hAnsi="仿宋" w:eastAsia="仿宋" w:cs="仿宋"/>
                <w:spacing w:val="-9"/>
                <w:sz w:val="24"/>
                <w:szCs w:val="24"/>
              </w:rPr>
              <w:t>偏差</w:t>
            </w:r>
          </w:p>
        </w:tc>
        <w:tc>
          <w:tcPr>
            <w:tcW w:w="1421" w:type="dxa"/>
            <w:vAlign w:val="top"/>
          </w:tcPr>
          <w:p w14:paraId="5B04AB9D">
            <w:pPr>
              <w:spacing w:before="168" w:line="224" w:lineRule="auto"/>
              <w:ind w:left="479"/>
              <w:rPr>
                <w:rFonts w:ascii="仿宋" w:hAnsi="仿宋" w:eastAsia="仿宋" w:cs="仿宋"/>
                <w:sz w:val="24"/>
                <w:szCs w:val="24"/>
              </w:rPr>
            </w:pPr>
            <w:r>
              <w:rPr>
                <w:rFonts w:ascii="仿宋" w:hAnsi="仿宋" w:eastAsia="仿宋" w:cs="仿宋"/>
                <w:spacing w:val="-9"/>
                <w:sz w:val="24"/>
                <w:szCs w:val="24"/>
              </w:rPr>
              <w:t>备注</w:t>
            </w:r>
          </w:p>
        </w:tc>
      </w:tr>
      <w:tr w14:paraId="55579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4910BE26">
            <w:pPr>
              <w:rPr>
                <w:rFonts w:ascii="Arial"/>
                <w:sz w:val="21"/>
              </w:rPr>
            </w:pPr>
          </w:p>
        </w:tc>
        <w:tc>
          <w:tcPr>
            <w:tcW w:w="1330" w:type="dxa"/>
            <w:vAlign w:val="top"/>
          </w:tcPr>
          <w:p w14:paraId="529F1CAD">
            <w:pPr>
              <w:rPr>
                <w:rFonts w:ascii="Arial"/>
                <w:sz w:val="21"/>
              </w:rPr>
            </w:pPr>
          </w:p>
        </w:tc>
        <w:tc>
          <w:tcPr>
            <w:tcW w:w="991" w:type="dxa"/>
            <w:vAlign w:val="top"/>
          </w:tcPr>
          <w:p w14:paraId="1FFE26A6">
            <w:pPr>
              <w:rPr>
                <w:rFonts w:ascii="Arial"/>
                <w:sz w:val="21"/>
              </w:rPr>
            </w:pPr>
          </w:p>
        </w:tc>
        <w:tc>
          <w:tcPr>
            <w:tcW w:w="2550" w:type="dxa"/>
            <w:vAlign w:val="top"/>
          </w:tcPr>
          <w:p w14:paraId="70B6440E">
            <w:pPr>
              <w:rPr>
                <w:rFonts w:ascii="Arial"/>
                <w:sz w:val="21"/>
              </w:rPr>
            </w:pPr>
          </w:p>
        </w:tc>
        <w:tc>
          <w:tcPr>
            <w:tcW w:w="1984" w:type="dxa"/>
            <w:vAlign w:val="top"/>
          </w:tcPr>
          <w:p w14:paraId="3B4A5274">
            <w:pPr>
              <w:rPr>
                <w:rFonts w:ascii="Arial"/>
                <w:sz w:val="21"/>
              </w:rPr>
            </w:pPr>
          </w:p>
        </w:tc>
        <w:tc>
          <w:tcPr>
            <w:tcW w:w="1421" w:type="dxa"/>
            <w:vAlign w:val="top"/>
          </w:tcPr>
          <w:p w14:paraId="32FCD6C0">
            <w:pPr>
              <w:rPr>
                <w:rFonts w:ascii="Arial"/>
                <w:sz w:val="21"/>
              </w:rPr>
            </w:pPr>
          </w:p>
        </w:tc>
      </w:tr>
      <w:tr w14:paraId="53195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2CA67E8B">
            <w:pPr>
              <w:rPr>
                <w:rFonts w:ascii="Arial"/>
                <w:sz w:val="21"/>
              </w:rPr>
            </w:pPr>
          </w:p>
        </w:tc>
        <w:tc>
          <w:tcPr>
            <w:tcW w:w="1330" w:type="dxa"/>
            <w:vAlign w:val="top"/>
          </w:tcPr>
          <w:p w14:paraId="0E8A0BF6">
            <w:pPr>
              <w:rPr>
                <w:rFonts w:ascii="Arial"/>
                <w:sz w:val="21"/>
              </w:rPr>
            </w:pPr>
          </w:p>
        </w:tc>
        <w:tc>
          <w:tcPr>
            <w:tcW w:w="991" w:type="dxa"/>
            <w:vAlign w:val="top"/>
          </w:tcPr>
          <w:p w14:paraId="47ADB02D">
            <w:pPr>
              <w:rPr>
                <w:rFonts w:ascii="Arial"/>
                <w:sz w:val="21"/>
              </w:rPr>
            </w:pPr>
          </w:p>
        </w:tc>
        <w:tc>
          <w:tcPr>
            <w:tcW w:w="2550" w:type="dxa"/>
            <w:vAlign w:val="top"/>
          </w:tcPr>
          <w:p w14:paraId="6B81DC26">
            <w:pPr>
              <w:rPr>
                <w:rFonts w:ascii="Arial"/>
                <w:sz w:val="21"/>
              </w:rPr>
            </w:pPr>
          </w:p>
        </w:tc>
        <w:tc>
          <w:tcPr>
            <w:tcW w:w="1984" w:type="dxa"/>
            <w:vAlign w:val="top"/>
          </w:tcPr>
          <w:p w14:paraId="40847C28">
            <w:pPr>
              <w:rPr>
                <w:rFonts w:ascii="Arial"/>
                <w:sz w:val="21"/>
              </w:rPr>
            </w:pPr>
          </w:p>
        </w:tc>
        <w:tc>
          <w:tcPr>
            <w:tcW w:w="1421" w:type="dxa"/>
            <w:vAlign w:val="top"/>
          </w:tcPr>
          <w:p w14:paraId="0F4F1612">
            <w:pPr>
              <w:rPr>
                <w:rFonts w:ascii="Arial"/>
                <w:sz w:val="21"/>
              </w:rPr>
            </w:pPr>
          </w:p>
        </w:tc>
      </w:tr>
      <w:tr w14:paraId="31723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569DFA9D">
            <w:pPr>
              <w:rPr>
                <w:rFonts w:ascii="Arial"/>
                <w:sz w:val="21"/>
              </w:rPr>
            </w:pPr>
          </w:p>
        </w:tc>
        <w:tc>
          <w:tcPr>
            <w:tcW w:w="1330" w:type="dxa"/>
            <w:vAlign w:val="top"/>
          </w:tcPr>
          <w:p w14:paraId="088D7D72">
            <w:pPr>
              <w:rPr>
                <w:rFonts w:ascii="Arial"/>
                <w:sz w:val="21"/>
              </w:rPr>
            </w:pPr>
          </w:p>
        </w:tc>
        <w:tc>
          <w:tcPr>
            <w:tcW w:w="991" w:type="dxa"/>
            <w:vAlign w:val="top"/>
          </w:tcPr>
          <w:p w14:paraId="7AA4594E">
            <w:pPr>
              <w:rPr>
                <w:rFonts w:ascii="Arial"/>
                <w:sz w:val="21"/>
              </w:rPr>
            </w:pPr>
          </w:p>
        </w:tc>
        <w:tc>
          <w:tcPr>
            <w:tcW w:w="2550" w:type="dxa"/>
            <w:vAlign w:val="top"/>
          </w:tcPr>
          <w:p w14:paraId="00C4EC55">
            <w:pPr>
              <w:rPr>
                <w:rFonts w:ascii="Arial"/>
                <w:sz w:val="21"/>
              </w:rPr>
            </w:pPr>
          </w:p>
        </w:tc>
        <w:tc>
          <w:tcPr>
            <w:tcW w:w="1984" w:type="dxa"/>
            <w:vAlign w:val="top"/>
          </w:tcPr>
          <w:p w14:paraId="2B3137B6">
            <w:pPr>
              <w:rPr>
                <w:rFonts w:ascii="Arial"/>
                <w:sz w:val="21"/>
              </w:rPr>
            </w:pPr>
          </w:p>
        </w:tc>
        <w:tc>
          <w:tcPr>
            <w:tcW w:w="1421" w:type="dxa"/>
            <w:vAlign w:val="top"/>
          </w:tcPr>
          <w:p w14:paraId="2DC834F0">
            <w:pPr>
              <w:rPr>
                <w:rFonts w:ascii="Arial"/>
                <w:sz w:val="21"/>
              </w:rPr>
            </w:pPr>
          </w:p>
        </w:tc>
      </w:tr>
      <w:tr w14:paraId="66268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0F7214D4">
            <w:pPr>
              <w:rPr>
                <w:rFonts w:ascii="Arial"/>
                <w:sz w:val="21"/>
              </w:rPr>
            </w:pPr>
          </w:p>
        </w:tc>
        <w:tc>
          <w:tcPr>
            <w:tcW w:w="1330" w:type="dxa"/>
            <w:vAlign w:val="top"/>
          </w:tcPr>
          <w:p w14:paraId="68F7CF49">
            <w:pPr>
              <w:rPr>
                <w:rFonts w:ascii="Arial"/>
                <w:sz w:val="21"/>
              </w:rPr>
            </w:pPr>
          </w:p>
        </w:tc>
        <w:tc>
          <w:tcPr>
            <w:tcW w:w="991" w:type="dxa"/>
            <w:vAlign w:val="top"/>
          </w:tcPr>
          <w:p w14:paraId="0682BCDB">
            <w:pPr>
              <w:rPr>
                <w:rFonts w:ascii="Arial"/>
                <w:sz w:val="21"/>
              </w:rPr>
            </w:pPr>
          </w:p>
        </w:tc>
        <w:tc>
          <w:tcPr>
            <w:tcW w:w="2550" w:type="dxa"/>
            <w:vAlign w:val="top"/>
          </w:tcPr>
          <w:p w14:paraId="2D34F19E">
            <w:pPr>
              <w:rPr>
                <w:rFonts w:ascii="Arial"/>
                <w:sz w:val="21"/>
              </w:rPr>
            </w:pPr>
          </w:p>
        </w:tc>
        <w:tc>
          <w:tcPr>
            <w:tcW w:w="1984" w:type="dxa"/>
            <w:vAlign w:val="top"/>
          </w:tcPr>
          <w:p w14:paraId="7DA840E2">
            <w:pPr>
              <w:rPr>
                <w:rFonts w:ascii="Arial"/>
                <w:sz w:val="21"/>
              </w:rPr>
            </w:pPr>
          </w:p>
        </w:tc>
        <w:tc>
          <w:tcPr>
            <w:tcW w:w="1421" w:type="dxa"/>
            <w:vAlign w:val="top"/>
          </w:tcPr>
          <w:p w14:paraId="61BFFD9B">
            <w:pPr>
              <w:rPr>
                <w:rFonts w:ascii="Arial"/>
                <w:sz w:val="21"/>
              </w:rPr>
            </w:pPr>
          </w:p>
        </w:tc>
      </w:tr>
      <w:tr w14:paraId="46CFE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8" w:type="dxa"/>
            <w:vMerge w:val="continue"/>
            <w:tcBorders>
              <w:top w:val="nil"/>
            </w:tcBorders>
            <w:vAlign w:val="top"/>
          </w:tcPr>
          <w:p w14:paraId="63A562E4">
            <w:pPr>
              <w:rPr>
                <w:rFonts w:ascii="Arial"/>
                <w:sz w:val="21"/>
              </w:rPr>
            </w:pPr>
          </w:p>
        </w:tc>
        <w:tc>
          <w:tcPr>
            <w:tcW w:w="1330" w:type="dxa"/>
            <w:vAlign w:val="top"/>
          </w:tcPr>
          <w:p w14:paraId="02A4419E">
            <w:pPr>
              <w:rPr>
                <w:rFonts w:ascii="Arial"/>
                <w:sz w:val="21"/>
              </w:rPr>
            </w:pPr>
          </w:p>
        </w:tc>
        <w:tc>
          <w:tcPr>
            <w:tcW w:w="991" w:type="dxa"/>
            <w:vAlign w:val="top"/>
          </w:tcPr>
          <w:p w14:paraId="4B6A17CA">
            <w:pPr>
              <w:rPr>
                <w:rFonts w:ascii="Arial"/>
                <w:sz w:val="21"/>
              </w:rPr>
            </w:pPr>
          </w:p>
        </w:tc>
        <w:tc>
          <w:tcPr>
            <w:tcW w:w="2550" w:type="dxa"/>
            <w:vAlign w:val="top"/>
          </w:tcPr>
          <w:p w14:paraId="35BAA381">
            <w:pPr>
              <w:rPr>
                <w:rFonts w:ascii="Arial"/>
                <w:sz w:val="21"/>
              </w:rPr>
            </w:pPr>
          </w:p>
        </w:tc>
        <w:tc>
          <w:tcPr>
            <w:tcW w:w="1984" w:type="dxa"/>
            <w:vAlign w:val="top"/>
          </w:tcPr>
          <w:p w14:paraId="66A235F3">
            <w:pPr>
              <w:rPr>
                <w:rFonts w:ascii="Arial"/>
                <w:sz w:val="21"/>
              </w:rPr>
            </w:pPr>
          </w:p>
        </w:tc>
        <w:tc>
          <w:tcPr>
            <w:tcW w:w="1421" w:type="dxa"/>
            <w:vAlign w:val="top"/>
          </w:tcPr>
          <w:p w14:paraId="5D2A042A">
            <w:pPr>
              <w:rPr>
                <w:rFonts w:ascii="Arial"/>
                <w:sz w:val="21"/>
              </w:rPr>
            </w:pPr>
          </w:p>
        </w:tc>
      </w:tr>
    </w:tbl>
    <w:p w14:paraId="3806BB15">
      <w:pPr>
        <w:spacing w:before="113" w:line="219" w:lineRule="auto"/>
        <w:ind w:left="282"/>
        <w:rPr>
          <w:rFonts w:ascii="宋体" w:hAnsi="宋体" w:eastAsia="宋体" w:cs="宋体"/>
          <w:sz w:val="24"/>
          <w:szCs w:val="24"/>
        </w:rPr>
      </w:pPr>
      <w:r>
        <w:rPr>
          <w:rFonts w:ascii="宋体" w:hAnsi="宋体" w:eastAsia="宋体" w:cs="宋体"/>
          <w:spacing w:val="-1"/>
          <w:sz w:val="24"/>
          <w:szCs w:val="24"/>
        </w:rPr>
        <w:t>注：若无商务或技术偏差，本表可不填。</w:t>
      </w:r>
    </w:p>
    <w:p w14:paraId="511A9C82">
      <w:pPr>
        <w:spacing w:before="183" w:line="219" w:lineRule="auto"/>
        <w:ind w:left="4682"/>
        <w:rPr>
          <w:rFonts w:ascii="宋体" w:hAnsi="宋体" w:eastAsia="宋体" w:cs="宋体"/>
          <w:sz w:val="24"/>
          <w:szCs w:val="24"/>
        </w:rPr>
      </w:pP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pacing w:val="3"/>
          <w:sz w:val="24"/>
          <w:szCs w:val="24"/>
        </w:rPr>
        <w:t>盖单位章）</w:t>
      </w:r>
    </w:p>
    <w:p w14:paraId="47B44AED">
      <w:pPr>
        <w:spacing w:before="183" w:line="347" w:lineRule="auto"/>
        <w:ind w:left="4683" w:right="671"/>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pacing w:val="-42"/>
          <w:w w:val="66"/>
          <w:sz w:val="24"/>
          <w:szCs w:val="24"/>
        </w:rPr>
        <w:t>：（</w:t>
      </w:r>
      <w:r>
        <w:rPr>
          <w:rFonts w:ascii="宋体" w:hAnsi="宋体" w:eastAsia="宋体" w:cs="宋体"/>
          <w:sz w:val="24"/>
          <w:szCs w:val="24"/>
        </w:rPr>
        <w:t>签字）</w:t>
      </w:r>
      <w:r>
        <w:rPr>
          <w:rFonts w:ascii="宋体" w:hAnsi="宋体" w:eastAsia="宋体" w:cs="宋体"/>
          <w:spacing w:val="1"/>
          <w:sz w:val="24"/>
          <w:szCs w:val="24"/>
        </w:rPr>
        <w:t xml:space="preserve"> </w:t>
      </w:r>
      <w:r>
        <w:rPr>
          <w:rFonts w:ascii="宋体" w:hAnsi="宋体" w:eastAsia="宋体" w:cs="宋体"/>
          <w:spacing w:val="-4"/>
          <w:sz w:val="24"/>
          <w:szCs w:val="24"/>
        </w:rPr>
        <w:t>年月日</w:t>
      </w:r>
    </w:p>
    <w:p w14:paraId="5C1595D9">
      <w:pPr>
        <w:pStyle w:val="7"/>
        <w:spacing w:line="250" w:lineRule="auto"/>
      </w:pPr>
    </w:p>
    <w:p w14:paraId="096EE01D">
      <w:pPr>
        <w:pStyle w:val="7"/>
        <w:spacing w:line="250" w:lineRule="auto"/>
      </w:pPr>
    </w:p>
    <w:p w14:paraId="7C8F915F">
      <w:pPr>
        <w:pStyle w:val="7"/>
        <w:spacing w:line="251" w:lineRule="auto"/>
      </w:pPr>
    </w:p>
    <w:p w14:paraId="2DF8E666">
      <w:pPr>
        <w:pStyle w:val="7"/>
        <w:spacing w:line="251" w:lineRule="auto"/>
      </w:pPr>
    </w:p>
    <w:p w14:paraId="3824FAE5">
      <w:pPr>
        <w:spacing w:before="63" w:line="228" w:lineRule="auto"/>
        <w:ind w:left="121"/>
        <w:outlineLvl w:val="1"/>
        <w:rPr>
          <w:rFonts w:ascii="宋体" w:hAnsi="宋体" w:eastAsia="宋体" w:cs="宋体"/>
          <w:sz w:val="19"/>
          <w:szCs w:val="19"/>
        </w:rPr>
      </w:pPr>
      <w:r>
        <w:rPr>
          <w:rFonts w:ascii="宋体" w:hAnsi="宋体" w:eastAsia="宋体" w:cs="宋体"/>
          <w:spacing w:val="9"/>
          <w:sz w:val="19"/>
          <w:szCs w:val="19"/>
        </w:rPr>
        <w:t>8、承揽方认为应补充的其他资料</w:t>
      </w:r>
    </w:p>
    <w:sectPr>
      <w:footerReference r:id="rId20" w:type="default"/>
      <w:pgSz w:w="11906" w:h="16839"/>
      <w:pgMar w:top="1431" w:right="1029" w:bottom="1156" w:left="1687"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2FC1F">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D1682">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06D1">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4B95E">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93A12">
    <w:pPr>
      <w:spacing w:line="176" w:lineRule="auto"/>
      <w:ind w:left="41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6A4E">
    <w:pPr>
      <w:spacing w:line="176" w:lineRule="auto"/>
      <w:ind w:left="41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215C2">
    <w:pPr>
      <w:spacing w:line="176" w:lineRule="auto"/>
      <w:ind w:left="41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FC1C5">
    <w:pPr>
      <w:spacing w:line="176" w:lineRule="auto"/>
      <w:ind w:left="41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A30EF">
    <w:pPr>
      <w:spacing w:line="176" w:lineRule="auto"/>
      <w:ind w:left="4263"/>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1C6DF">
    <w:pPr>
      <w:spacing w:line="176" w:lineRule="auto"/>
      <w:ind w:left="4853"/>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7CF0B">
    <w:pPr>
      <w:spacing w:line="176" w:lineRule="auto"/>
      <w:ind w:left="495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E2092">
    <w:pPr>
      <w:spacing w:line="176" w:lineRule="auto"/>
      <w:ind w:left="422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31FAD">
    <w:pPr>
      <w:spacing w:line="176" w:lineRule="auto"/>
      <w:ind w:left="42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48B2A">
    <w:pPr>
      <w:spacing w:line="176" w:lineRule="auto"/>
      <w:ind w:left="42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72543">
    <w:pPr>
      <w:spacing w:line="176" w:lineRule="auto"/>
      <w:ind w:left="410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47573">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C245E"/>
    <w:multiLevelType w:val="singleLevel"/>
    <w:tmpl w:val="E5EC245E"/>
    <w:lvl w:ilvl="0" w:tentative="0">
      <w:start w:val="5"/>
      <w:numFmt w:val="decimal"/>
      <w:suff w:val="nothing"/>
      <w:lvlText w:val="%1、"/>
      <w:lvlJc w:val="left"/>
    </w:lvl>
  </w:abstractNum>
  <w:abstractNum w:abstractNumId="1">
    <w:nsid w:val="375A2EA1"/>
    <w:multiLevelType w:val="singleLevel"/>
    <w:tmpl w:val="375A2EA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MyMGJiNDM2NjQ5NzEyMTlhMTQxNjJmOTA4MWQ1NjQifQ=="/>
  </w:docVars>
  <w:rsids>
    <w:rsidRoot w:val="00000000"/>
    <w:rsid w:val="0037192E"/>
    <w:rsid w:val="028B3ADB"/>
    <w:rsid w:val="056921F6"/>
    <w:rsid w:val="05740424"/>
    <w:rsid w:val="064B56BF"/>
    <w:rsid w:val="06B068E7"/>
    <w:rsid w:val="06E93094"/>
    <w:rsid w:val="07ED0962"/>
    <w:rsid w:val="0A0F2E11"/>
    <w:rsid w:val="0B626F71"/>
    <w:rsid w:val="0CAF60D6"/>
    <w:rsid w:val="0D662D48"/>
    <w:rsid w:val="0DCE2D11"/>
    <w:rsid w:val="0F781459"/>
    <w:rsid w:val="1173012A"/>
    <w:rsid w:val="121A2353"/>
    <w:rsid w:val="12F9640D"/>
    <w:rsid w:val="141F6347"/>
    <w:rsid w:val="14B52807"/>
    <w:rsid w:val="16DC407B"/>
    <w:rsid w:val="18C94AD3"/>
    <w:rsid w:val="1A8C5DB8"/>
    <w:rsid w:val="1B373F76"/>
    <w:rsid w:val="1B3E3557"/>
    <w:rsid w:val="1C4032FE"/>
    <w:rsid w:val="1CD221A8"/>
    <w:rsid w:val="1CE95744"/>
    <w:rsid w:val="1FFC33EC"/>
    <w:rsid w:val="216830DB"/>
    <w:rsid w:val="22AF3548"/>
    <w:rsid w:val="22AF3FF6"/>
    <w:rsid w:val="23C44F19"/>
    <w:rsid w:val="2603166E"/>
    <w:rsid w:val="274A3283"/>
    <w:rsid w:val="27FA0805"/>
    <w:rsid w:val="287A0D63"/>
    <w:rsid w:val="28B44E58"/>
    <w:rsid w:val="28C17575"/>
    <w:rsid w:val="29650E20"/>
    <w:rsid w:val="2A270CF7"/>
    <w:rsid w:val="2A4346E5"/>
    <w:rsid w:val="2AEC6B2B"/>
    <w:rsid w:val="2C752B50"/>
    <w:rsid w:val="2C7F51A8"/>
    <w:rsid w:val="2CAD5E46"/>
    <w:rsid w:val="2EF37D5C"/>
    <w:rsid w:val="2F0361F1"/>
    <w:rsid w:val="2F98718A"/>
    <w:rsid w:val="31442AF1"/>
    <w:rsid w:val="31D976DD"/>
    <w:rsid w:val="32717916"/>
    <w:rsid w:val="32C4038E"/>
    <w:rsid w:val="333252F7"/>
    <w:rsid w:val="34052A0C"/>
    <w:rsid w:val="35417A73"/>
    <w:rsid w:val="35B9585C"/>
    <w:rsid w:val="35F1149A"/>
    <w:rsid w:val="36583F6E"/>
    <w:rsid w:val="37E40B8A"/>
    <w:rsid w:val="382C624B"/>
    <w:rsid w:val="38F92413"/>
    <w:rsid w:val="39551D3F"/>
    <w:rsid w:val="3A1A0893"/>
    <w:rsid w:val="3A43603C"/>
    <w:rsid w:val="3A6D48E4"/>
    <w:rsid w:val="3B8D3AA3"/>
    <w:rsid w:val="3CC23C6F"/>
    <w:rsid w:val="3DAB4624"/>
    <w:rsid w:val="3DFB09DB"/>
    <w:rsid w:val="3FE07E89"/>
    <w:rsid w:val="41DB1250"/>
    <w:rsid w:val="41DB2FFE"/>
    <w:rsid w:val="420F4EE4"/>
    <w:rsid w:val="434F15AD"/>
    <w:rsid w:val="4416656F"/>
    <w:rsid w:val="44870254"/>
    <w:rsid w:val="44F56185"/>
    <w:rsid w:val="453A419A"/>
    <w:rsid w:val="456B6447"/>
    <w:rsid w:val="46827EEC"/>
    <w:rsid w:val="46DB65F5"/>
    <w:rsid w:val="47F646ED"/>
    <w:rsid w:val="48BF71D5"/>
    <w:rsid w:val="495956A5"/>
    <w:rsid w:val="49777AB0"/>
    <w:rsid w:val="4C3103EA"/>
    <w:rsid w:val="4CD5641A"/>
    <w:rsid w:val="4DC25072"/>
    <w:rsid w:val="4FAB400F"/>
    <w:rsid w:val="51283A7E"/>
    <w:rsid w:val="51F24178"/>
    <w:rsid w:val="52720E14"/>
    <w:rsid w:val="54754BEC"/>
    <w:rsid w:val="551E34D6"/>
    <w:rsid w:val="56521689"/>
    <w:rsid w:val="59DF307F"/>
    <w:rsid w:val="5AA63D51"/>
    <w:rsid w:val="5B152C85"/>
    <w:rsid w:val="5C433822"/>
    <w:rsid w:val="5D6879E4"/>
    <w:rsid w:val="5D852344"/>
    <w:rsid w:val="5E056651"/>
    <w:rsid w:val="5E26482D"/>
    <w:rsid w:val="5E56783C"/>
    <w:rsid w:val="5E8819C0"/>
    <w:rsid w:val="5EAD1637"/>
    <w:rsid w:val="5EBE53E1"/>
    <w:rsid w:val="60340051"/>
    <w:rsid w:val="60B116A2"/>
    <w:rsid w:val="616A29F0"/>
    <w:rsid w:val="6252656D"/>
    <w:rsid w:val="641C08E7"/>
    <w:rsid w:val="641E704E"/>
    <w:rsid w:val="64306D81"/>
    <w:rsid w:val="647C1FC7"/>
    <w:rsid w:val="64CC6AAA"/>
    <w:rsid w:val="650E0E71"/>
    <w:rsid w:val="662B3F8D"/>
    <w:rsid w:val="677B6565"/>
    <w:rsid w:val="67F00D02"/>
    <w:rsid w:val="6885769C"/>
    <w:rsid w:val="68C61A62"/>
    <w:rsid w:val="698C6808"/>
    <w:rsid w:val="6B0F149F"/>
    <w:rsid w:val="6C0703C8"/>
    <w:rsid w:val="6CE60925"/>
    <w:rsid w:val="6D147265"/>
    <w:rsid w:val="6D1E00BF"/>
    <w:rsid w:val="6D2D20B0"/>
    <w:rsid w:val="6D463172"/>
    <w:rsid w:val="6E0B0643"/>
    <w:rsid w:val="6E276AFF"/>
    <w:rsid w:val="6E3F653F"/>
    <w:rsid w:val="7162169D"/>
    <w:rsid w:val="717E1BCD"/>
    <w:rsid w:val="71F933B4"/>
    <w:rsid w:val="74EC45FF"/>
    <w:rsid w:val="76DE441B"/>
    <w:rsid w:val="773109EF"/>
    <w:rsid w:val="77B84C6C"/>
    <w:rsid w:val="77F9775E"/>
    <w:rsid w:val="79B80F53"/>
    <w:rsid w:val="79C824DD"/>
    <w:rsid w:val="79DF2984"/>
    <w:rsid w:val="7B8A5919"/>
    <w:rsid w:val="7BA43E85"/>
    <w:rsid w:val="7C7750F6"/>
    <w:rsid w:val="7D921C5C"/>
    <w:rsid w:val="7E1F3C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2"/>
    <w:basedOn w:val="1"/>
    <w:next w:val="1"/>
    <w:qFormat/>
    <w:uiPriority w:val="0"/>
    <w:pPr>
      <w:keepNext/>
      <w:keepLines/>
      <w:widowControl w:val="0"/>
      <w:spacing w:before="260" w:after="260" w:line="415" w:lineRule="auto"/>
      <w:jc w:val="both"/>
      <w:outlineLvl w:val="1"/>
    </w:pPr>
    <w:rPr>
      <w:rFonts w:ascii="Arial" w:hAnsi="Arial" w:eastAsia="黑体" w:cs="Times New Roman"/>
      <w:b/>
      <w:bCs/>
      <w:sz w:val="32"/>
      <w:szCs w:val="32"/>
    </w:rPr>
  </w:style>
  <w:style w:type="paragraph" w:styleId="5">
    <w:name w:val="heading 3"/>
    <w:basedOn w:val="1"/>
    <w:next w:val="1"/>
    <w:link w:val="21"/>
    <w:qFormat/>
    <w:uiPriority w:val="0"/>
    <w:pPr>
      <w:keepNext/>
      <w:keepLines/>
      <w:widowControl w:val="0"/>
      <w:spacing w:before="260" w:after="260" w:line="415" w:lineRule="auto"/>
      <w:jc w:val="both"/>
      <w:outlineLvl w:val="2"/>
    </w:pPr>
    <w:rPr>
      <w:rFonts w:cs="Times New Roman"/>
      <w:b/>
      <w:bCs/>
      <w:sz w:val="32"/>
      <w:szCs w:val="32"/>
    </w:rPr>
  </w:style>
  <w:style w:type="paragraph" w:styleId="6">
    <w:name w:val="heading 4"/>
    <w:basedOn w:val="1"/>
    <w:next w:val="1"/>
    <w:qFormat/>
    <w:uiPriority w:val="0"/>
    <w:pPr>
      <w:keepNext/>
      <w:keepLines/>
      <w:widowControl w:val="0"/>
      <w:spacing w:before="280" w:after="290" w:line="374" w:lineRule="auto"/>
      <w:jc w:val="both"/>
      <w:outlineLvl w:val="3"/>
    </w:pPr>
    <w:rPr>
      <w:rFonts w:ascii="Arial" w:hAnsi="Arial" w:eastAsia="黑体" w:cs="Times New Roman"/>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widowControl w:val="0"/>
      <w:spacing w:after="120"/>
      <w:ind w:left="420" w:leftChars="200"/>
      <w:jc w:val="both"/>
    </w:pPr>
    <w:rPr>
      <w:rFonts w:ascii="Times New Roman" w:hAnsi="Times New Roman" w:cs="Times New Roman"/>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Plain Text"/>
    <w:basedOn w:val="1"/>
    <w:qFormat/>
    <w:uiPriority w:val="99"/>
    <w:rPr>
      <w:rFonts w:ascii="宋体" w:hAnsi="Courier New"/>
      <w:szCs w:val="20"/>
    </w:rPr>
  </w:style>
  <w:style w:type="paragraph" w:styleId="9">
    <w:name w:val="Body Text Indent 2"/>
    <w:basedOn w:val="1"/>
    <w:qFormat/>
    <w:uiPriority w:val="0"/>
    <w:pPr>
      <w:widowControl w:val="0"/>
      <w:spacing w:after="120" w:line="480" w:lineRule="auto"/>
      <w:ind w:left="420" w:leftChars="200"/>
      <w:jc w:val="both"/>
    </w:pPr>
    <w:rPr>
      <w:rFonts w:ascii="Times New Roman" w:hAnsi="Times New Roman" w:cs="Times New Roman"/>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paragraph" w:customStyle="1" w:styleId="15">
    <w:name w:val="二级"/>
    <w:basedOn w:val="16"/>
    <w:qFormat/>
    <w:uiPriority w:val="0"/>
    <w:pPr>
      <w:widowControl w:val="0"/>
      <w:tabs>
        <w:tab w:val="left" w:pos="851"/>
      </w:tabs>
      <w:spacing w:after="80" w:line="360" w:lineRule="auto"/>
      <w:ind w:left="851" w:hanging="851"/>
      <w:jc w:val="center"/>
      <w:outlineLvl w:val="3"/>
    </w:pPr>
    <w:rPr>
      <w:rFonts w:ascii="宋体" w:hAnsi="宋体" w:eastAsia="宋体"/>
      <w:sz w:val="28"/>
    </w:rPr>
  </w:style>
  <w:style w:type="paragraph" w:customStyle="1" w:styleId="16">
    <w:name w:val="A标题4"/>
    <w:basedOn w:val="6"/>
    <w:next w:val="1"/>
    <w:qFormat/>
    <w:uiPriority w:val="0"/>
    <w:pPr>
      <w:keepNext w:val="0"/>
      <w:keepLines w:val="0"/>
      <w:tabs>
        <w:tab w:val="left" w:pos="851"/>
      </w:tabs>
      <w:spacing w:before="0" w:after="80" w:line="360" w:lineRule="auto"/>
      <w:ind w:left="851" w:hanging="851"/>
    </w:pPr>
    <w:rPr>
      <w:sz w:val="24"/>
    </w:rPr>
  </w:style>
  <w:style w:type="paragraph" w:customStyle="1" w:styleId="17">
    <w:name w:val="样式1"/>
    <w:basedOn w:val="1"/>
    <w:next w:val="6"/>
    <w:qFormat/>
    <w:uiPriority w:val="0"/>
    <w:pPr>
      <w:widowControl w:val="0"/>
      <w:spacing w:line="360" w:lineRule="auto"/>
      <w:ind w:firstLine="420" w:firstLineChars="200"/>
      <w:jc w:val="both"/>
    </w:pPr>
    <w:rPr>
      <w:rFonts w:cs="Times New Roman"/>
      <w:kern w:val="2"/>
      <w:sz w:val="21"/>
      <w:szCs w:val="21"/>
    </w:rPr>
  </w:style>
  <w:style w:type="paragraph" w:customStyle="1" w:styleId="18">
    <w:name w:val="正文1"/>
    <w:basedOn w:val="1"/>
    <w:qFormat/>
    <w:uiPriority w:val="0"/>
    <w:pPr>
      <w:widowControl w:val="0"/>
      <w:jc w:val="both"/>
    </w:pPr>
    <w:rPr>
      <w:rFonts w:ascii="Times New Roman" w:hAnsi="Times New Roman" w:cs="Times New Roman"/>
      <w:sz w:val="20"/>
      <w:szCs w:val="20"/>
    </w:rPr>
  </w:style>
  <w:style w:type="paragraph" w:customStyle="1" w:styleId="19">
    <w:name w:val="p0"/>
    <w:basedOn w:val="1"/>
    <w:qFormat/>
    <w:uiPriority w:val="0"/>
    <w:pPr>
      <w:jc w:val="both"/>
    </w:pPr>
    <w:rPr>
      <w:rFonts w:ascii="Times New Roman" w:hAnsi="Times New Roman" w:cs="Times New Roman"/>
      <w:sz w:val="21"/>
      <w:szCs w:val="21"/>
    </w:rPr>
  </w:style>
  <w:style w:type="paragraph" w:customStyle="1" w:styleId="20">
    <w:name w:val="样式2"/>
    <w:basedOn w:val="1"/>
    <w:qFormat/>
    <w:uiPriority w:val="0"/>
    <w:pPr>
      <w:widowControl w:val="0"/>
      <w:spacing w:beforeLines="50" w:line="360" w:lineRule="auto"/>
      <w:jc w:val="center"/>
      <w:outlineLvl w:val="0"/>
    </w:pPr>
    <w:rPr>
      <w:rFonts w:ascii="Times New Roman" w:hAnsi="Times New Roman" w:eastAsia="黑体" w:cs="Times New Roman"/>
      <w:b/>
      <w:kern w:val="2"/>
      <w:sz w:val="44"/>
      <w:szCs w:val="44"/>
    </w:rPr>
  </w:style>
  <w:style w:type="character" w:customStyle="1" w:styleId="21">
    <w:name w:val="标题 3 Char"/>
    <w:link w:val="5"/>
    <w:qFormat/>
    <w:uiPriority w:val="99"/>
    <w:rPr>
      <w:rFonts w:cs="Times New Roman"/>
      <w:b/>
      <w:bCs/>
      <w:sz w:val="32"/>
      <w:szCs w:val="32"/>
    </w:rPr>
  </w:style>
  <w:style w:type="paragraph" w:customStyle="1" w:styleId="22">
    <w:name w:val="三级"/>
    <w:basedOn w:val="16"/>
    <w:qFormat/>
    <w:uiPriority w:val="0"/>
    <w:pPr>
      <w:widowControl w:val="0"/>
      <w:spacing w:after="80" w:line="360" w:lineRule="auto"/>
      <w:ind w:left="851" w:hanging="851"/>
      <w:jc w:val="both"/>
      <w:outlineLvl w:val="3"/>
    </w:pPr>
    <w:rPr>
      <w:rFonts w:ascii="宋体" w:hAnsi="宋体" w:eastAsia="宋体"/>
      <w:szCs w:val="24"/>
    </w:rPr>
  </w:style>
  <w:style w:type="paragraph" w:customStyle="1" w:styleId="23">
    <w:name w:val="样式 标题 2 + Times New Roman 四号 非加粗 段前: 5 磅 段后: 0 磅 行距: 固定值 20..."/>
    <w:basedOn w:val="4"/>
    <w:qFormat/>
    <w:uiPriority w:val="0"/>
    <w:pPr>
      <w:spacing w:before="100" w:after="0" w:line="400" w:lineRule="exact"/>
    </w:pPr>
    <w:rPr>
      <w:rFonts w:ascii="Times New Roman" w:hAnsi="Times New Roman"/>
      <w:b w:val="0"/>
      <w:bCs w:val="0"/>
      <w:sz w:val="20"/>
      <w:szCs w:val="20"/>
    </w:rPr>
  </w:style>
  <w:style w:type="paragraph" w:customStyle="1" w:styleId="24">
    <w:name w:val="一级"/>
    <w:basedOn w:val="20"/>
    <w:qFormat/>
    <w:uiPriority w:val="0"/>
    <w:pPr>
      <w:widowControl w:val="0"/>
      <w:jc w:val="center"/>
      <w:outlineLvl w:val="0"/>
    </w:pPr>
    <w:rPr>
      <w:rFonts w:ascii="宋体" w:hAnsi="宋体" w:eastAsia="宋体"/>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47</Pages>
  <Words>904</Words>
  <Characters>1080</Characters>
  <TotalTime>0</TotalTime>
  <ScaleCrop>false</ScaleCrop>
  <LinksUpToDate>false</LinksUpToDate>
  <CharactersWithSpaces>1117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2024-12-24T13:55:00Z</dcterms:created>
  <dc:creator>83790211</dc:creator>
  <cp:lastModifiedBy>史美伟</cp:lastModifiedBy>
  <dcterms:modified xsi:type="dcterms:W3CDTF">2025-07-08T07:14:08Z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2024-12-24T13:56:21Z</vt:filetime>
  </property>
  <property fmtid="{D5CDD505-2E9C-101B-9397-08002B2CF9AE}" pid="4" name="KSOProductBuildVer">
    <vt:lpwstr>2052-12.1.0.21915</vt:lpwstr>
  </property>
  <property fmtid="{D5CDD505-2E9C-101B-9397-08002B2CF9AE}" pid="5" name="ICV">
    <vt:lpwstr>23E61D6805CC40689EB4B8018FFB0F3D_13</vt:lpwstr>
  </property>
  <property fmtid="{D5CDD505-2E9C-101B-9397-08002B2CF9AE}" pid="6" name="KSOTemplateDocerSaveRecord">
    <vt:lpwstr>eyJoZGlkIjoiODZkNjExNWZlMWRjZGM0MmRiNTUzN2UxMjdjNWUyZWYiLCJ1c2VySWQiOiI1MTUxNzA1ODQifQ==</vt:lpwstr>
  </property>
</Properties>
</file>